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ind w:firstLine="643" w:firstLineChars="200"/>
        <w:jc w:val="center"/>
        <w:rPr>
          <w:b/>
          <w:sz w:val="32"/>
          <w:szCs w:val="32"/>
        </w:rPr>
      </w:pPr>
      <w:r>
        <w:rPr>
          <w:rFonts w:hint="eastAsia"/>
          <w:b/>
          <w:sz w:val="32"/>
          <w:szCs w:val="32"/>
        </w:rPr>
        <w:t>青岛开放大学采购招标文件</w:t>
      </w:r>
    </w:p>
    <w:p>
      <w:pPr>
        <w:spacing w:after="312" w:afterLines="100"/>
        <w:ind w:firstLine="480" w:firstLineChars="200"/>
        <w:rPr>
          <w:sz w:val="24"/>
        </w:rPr>
      </w:pPr>
      <w:r>
        <w:rPr>
          <w:rFonts w:hint="eastAsia"/>
          <w:sz w:val="24"/>
        </w:rPr>
        <w:t>青岛开放大学关于综合楼1000M互联网专线服务项目公开招标采购文件</w:t>
      </w:r>
    </w:p>
    <w:p>
      <w:pPr>
        <w:spacing w:after="312" w:afterLines="100"/>
        <w:ind w:firstLine="480" w:firstLineChars="200"/>
        <w:rPr>
          <w:sz w:val="24"/>
        </w:rPr>
      </w:pPr>
      <w:r>
        <w:rPr>
          <w:rFonts w:hint="eastAsia"/>
          <w:sz w:val="24"/>
        </w:rPr>
        <w:t xml:space="preserve">项目编号： </w:t>
      </w:r>
    </w:p>
    <w:p>
      <w:pPr>
        <w:spacing w:after="312" w:afterLines="100"/>
        <w:ind w:firstLine="480" w:firstLineChars="200"/>
        <w:rPr>
          <w:sz w:val="24"/>
        </w:rPr>
      </w:pPr>
      <w:r>
        <w:rPr>
          <w:rFonts w:hint="eastAsia"/>
          <w:sz w:val="24"/>
        </w:rPr>
        <w:t>项目名称：青岛开放大学综合楼1000M互联网专线服务项目</w:t>
      </w:r>
    </w:p>
    <w:p>
      <w:pPr>
        <w:spacing w:after="312" w:afterLines="100"/>
        <w:ind w:firstLine="480" w:firstLineChars="200"/>
        <w:rPr>
          <w:sz w:val="24"/>
        </w:rPr>
      </w:pPr>
      <w:r>
        <w:rPr>
          <w:rFonts w:hint="eastAsia"/>
          <w:sz w:val="24"/>
        </w:rPr>
        <w:t>采购单位：青岛开放大学</w:t>
      </w:r>
    </w:p>
    <w:p>
      <w:pPr>
        <w:spacing w:after="312" w:afterLines="100"/>
        <w:ind w:firstLine="480" w:firstLineChars="200"/>
        <w:jc w:val="center"/>
        <w:rPr>
          <w:rFonts w:ascii="仿宋" w:hAnsi="仿宋" w:eastAsia="仿宋"/>
          <w:sz w:val="44"/>
          <w:szCs w:val="32"/>
        </w:rPr>
      </w:pPr>
      <w:r>
        <w:rPr>
          <w:sz w:val="24"/>
        </w:rPr>
        <w:br w:type="page"/>
      </w:r>
      <w:r>
        <w:rPr>
          <w:rFonts w:hint="eastAsia" w:ascii="仿宋" w:hAnsi="仿宋" w:eastAsia="仿宋"/>
          <w:b/>
          <w:sz w:val="32"/>
          <w:szCs w:val="32"/>
        </w:rPr>
        <w:t>目 录</w:t>
      </w:r>
    </w:p>
    <w:p>
      <w:pPr>
        <w:pStyle w:val="16"/>
        <w:tabs>
          <w:tab w:val="right" w:leader="dot" w:pos="8296"/>
        </w:tabs>
        <w:rPr>
          <w:rFonts w:ascii="仿宋" w:hAnsi="仿宋" w:eastAsia="仿宋"/>
          <w:sz w:val="28"/>
          <w:szCs w:val="22"/>
        </w:rPr>
      </w:pPr>
      <w:r>
        <w:rPr>
          <w:rFonts w:ascii="仿宋" w:hAnsi="仿宋" w:eastAsia="仿宋"/>
          <w:sz w:val="40"/>
          <w:szCs w:val="28"/>
        </w:rPr>
        <w:fldChar w:fldCharType="begin"/>
      </w:r>
      <w:r>
        <w:rPr>
          <w:rFonts w:ascii="仿宋" w:hAnsi="仿宋" w:eastAsia="仿宋"/>
          <w:sz w:val="40"/>
          <w:szCs w:val="28"/>
        </w:rPr>
        <w:instrText xml:space="preserve"> TOC \o "1-3" \h \z \u </w:instrText>
      </w:r>
      <w:r>
        <w:rPr>
          <w:rFonts w:ascii="仿宋" w:hAnsi="仿宋" w:eastAsia="仿宋"/>
          <w:sz w:val="40"/>
          <w:szCs w:val="28"/>
        </w:rPr>
        <w:fldChar w:fldCharType="separate"/>
      </w:r>
      <w:r>
        <w:fldChar w:fldCharType="begin"/>
      </w:r>
      <w:r>
        <w:instrText xml:space="preserve"> HYPERLINK \l "_Toc13853044" </w:instrText>
      </w:r>
      <w:r>
        <w:fldChar w:fldCharType="separate"/>
      </w:r>
      <w:r>
        <w:rPr>
          <w:rStyle w:val="12"/>
          <w:rFonts w:hint="eastAsia" w:ascii="仿宋" w:hAnsi="仿宋" w:eastAsia="仿宋"/>
          <w:sz w:val="28"/>
        </w:rPr>
        <w:t>第一章</w:t>
      </w:r>
      <w:r>
        <w:rPr>
          <w:rStyle w:val="12"/>
          <w:rFonts w:ascii="仿宋" w:hAnsi="仿宋" w:eastAsia="仿宋"/>
          <w:sz w:val="28"/>
        </w:rPr>
        <w:t xml:space="preserve"> </w:t>
      </w:r>
      <w:r>
        <w:rPr>
          <w:rStyle w:val="12"/>
          <w:rFonts w:hint="eastAsia" w:ascii="仿宋" w:hAnsi="仿宋" w:eastAsia="仿宋"/>
          <w:sz w:val="28"/>
        </w:rPr>
        <w:t>采购公告</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_Toc13853044 \h </w:instrText>
      </w:r>
      <w:r>
        <w:rPr>
          <w:rFonts w:ascii="仿宋" w:hAnsi="仿宋" w:eastAsia="仿宋"/>
          <w:sz w:val="28"/>
        </w:rPr>
        <w:fldChar w:fldCharType="separate"/>
      </w:r>
      <w:r>
        <w:rPr>
          <w:rFonts w:ascii="仿宋" w:hAnsi="仿宋" w:eastAsia="仿宋"/>
          <w:sz w:val="28"/>
        </w:rPr>
        <w:t>3</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"_Toc13853045" </w:instrText>
      </w:r>
      <w:r>
        <w:fldChar w:fldCharType="separate"/>
      </w:r>
      <w:r>
        <w:rPr>
          <w:rStyle w:val="12"/>
          <w:rFonts w:hint="eastAsia" w:ascii="仿宋" w:hAnsi="仿宋" w:eastAsia="仿宋"/>
          <w:sz w:val="28"/>
        </w:rPr>
        <w:t>第二章</w:t>
      </w:r>
      <w:r>
        <w:rPr>
          <w:rStyle w:val="12"/>
          <w:rFonts w:ascii="仿宋" w:hAnsi="仿宋" w:eastAsia="仿宋"/>
          <w:sz w:val="28"/>
        </w:rPr>
        <w:t xml:space="preserve"> </w:t>
      </w:r>
      <w:r>
        <w:rPr>
          <w:rStyle w:val="12"/>
          <w:rFonts w:hint="eastAsia" w:ascii="仿宋" w:hAnsi="仿宋" w:eastAsia="仿宋"/>
          <w:sz w:val="28"/>
        </w:rPr>
        <w:t>投标人应当提交的资格、资信等证明文件</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_Toc13853045 \h </w:instrText>
      </w:r>
      <w:r>
        <w:rPr>
          <w:rFonts w:ascii="仿宋" w:hAnsi="仿宋" w:eastAsia="仿宋"/>
          <w:sz w:val="28"/>
        </w:rPr>
        <w:fldChar w:fldCharType="separate"/>
      </w:r>
      <w:r>
        <w:rPr>
          <w:rFonts w:ascii="仿宋" w:hAnsi="仿宋" w:eastAsia="仿宋"/>
          <w:sz w:val="28"/>
        </w:rPr>
        <w:t>4</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"_Toc13853046" </w:instrText>
      </w:r>
      <w:r>
        <w:fldChar w:fldCharType="separate"/>
      </w:r>
      <w:r>
        <w:rPr>
          <w:rStyle w:val="12"/>
          <w:rFonts w:hint="eastAsia" w:ascii="仿宋" w:hAnsi="仿宋" w:eastAsia="仿宋"/>
          <w:sz w:val="28"/>
        </w:rPr>
        <w:t>第三章</w:t>
      </w:r>
      <w:r>
        <w:rPr>
          <w:rStyle w:val="12"/>
          <w:rFonts w:ascii="仿宋" w:hAnsi="仿宋" w:eastAsia="仿宋"/>
          <w:sz w:val="28"/>
        </w:rPr>
        <w:t xml:space="preserve"> </w:t>
      </w:r>
      <w:r>
        <w:rPr>
          <w:rStyle w:val="12"/>
          <w:rFonts w:hint="eastAsia" w:ascii="仿宋" w:hAnsi="仿宋" w:eastAsia="仿宋"/>
          <w:sz w:val="28"/>
        </w:rPr>
        <w:t>采购需求</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_Toc13853046 \h </w:instrText>
      </w:r>
      <w:r>
        <w:rPr>
          <w:rFonts w:ascii="仿宋" w:hAnsi="仿宋" w:eastAsia="仿宋"/>
          <w:sz w:val="28"/>
        </w:rPr>
        <w:fldChar w:fldCharType="separate"/>
      </w:r>
      <w:r>
        <w:rPr>
          <w:rFonts w:ascii="仿宋" w:hAnsi="仿宋" w:eastAsia="仿宋"/>
          <w:sz w:val="28"/>
        </w:rPr>
        <w:t>6</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"_Toc13853047" </w:instrText>
      </w:r>
      <w:r>
        <w:fldChar w:fldCharType="separate"/>
      </w:r>
      <w:r>
        <w:rPr>
          <w:rStyle w:val="12"/>
          <w:rFonts w:hint="eastAsia" w:ascii="仿宋" w:hAnsi="仿宋" w:eastAsia="仿宋"/>
          <w:sz w:val="28"/>
        </w:rPr>
        <w:t>第四章</w:t>
      </w:r>
      <w:r>
        <w:rPr>
          <w:rStyle w:val="12"/>
          <w:rFonts w:ascii="仿宋" w:hAnsi="仿宋" w:eastAsia="仿宋"/>
          <w:sz w:val="28"/>
        </w:rPr>
        <w:t xml:space="preserve"> </w:t>
      </w:r>
      <w:r>
        <w:rPr>
          <w:rStyle w:val="12"/>
          <w:rFonts w:hint="eastAsia" w:ascii="仿宋" w:hAnsi="仿宋" w:eastAsia="仿宋"/>
          <w:sz w:val="28"/>
        </w:rPr>
        <w:t>评标办法</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_Toc13853047 \h </w:instrText>
      </w:r>
      <w:r>
        <w:rPr>
          <w:rFonts w:ascii="仿宋" w:hAnsi="仿宋" w:eastAsia="仿宋"/>
          <w:sz w:val="28"/>
        </w:rPr>
        <w:fldChar w:fldCharType="separate"/>
      </w:r>
      <w:r>
        <w:rPr>
          <w:rFonts w:ascii="仿宋" w:hAnsi="仿宋" w:eastAsia="仿宋"/>
          <w:sz w:val="28"/>
        </w:rPr>
        <w:t>9</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"_Toc13853048" </w:instrText>
      </w:r>
      <w:r>
        <w:fldChar w:fldCharType="separate"/>
      </w:r>
      <w:r>
        <w:rPr>
          <w:rStyle w:val="12"/>
          <w:rFonts w:hint="eastAsia" w:ascii="仿宋" w:hAnsi="仿宋" w:eastAsia="仿宋"/>
          <w:sz w:val="28"/>
        </w:rPr>
        <w:t>第五章</w:t>
      </w:r>
      <w:r>
        <w:rPr>
          <w:rStyle w:val="12"/>
          <w:rFonts w:ascii="仿宋" w:hAnsi="仿宋" w:eastAsia="仿宋"/>
          <w:sz w:val="28"/>
        </w:rPr>
        <w:t xml:space="preserve"> </w:t>
      </w:r>
      <w:r>
        <w:rPr>
          <w:rStyle w:val="12"/>
          <w:rFonts w:hint="eastAsia" w:ascii="仿宋" w:hAnsi="仿宋" w:eastAsia="仿宋"/>
          <w:sz w:val="28"/>
        </w:rPr>
        <w:t>投标人须知</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_Toc13853048 \h </w:instrText>
      </w:r>
      <w:r>
        <w:rPr>
          <w:rFonts w:ascii="仿宋" w:hAnsi="仿宋" w:eastAsia="仿宋"/>
          <w:sz w:val="28"/>
        </w:rPr>
        <w:fldChar w:fldCharType="separate"/>
      </w:r>
      <w:r>
        <w:rPr>
          <w:rFonts w:ascii="仿宋" w:hAnsi="仿宋" w:eastAsia="仿宋"/>
          <w:sz w:val="28"/>
        </w:rPr>
        <w:t>14</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"_Toc13853049" </w:instrText>
      </w:r>
      <w:r>
        <w:fldChar w:fldCharType="separate"/>
      </w:r>
      <w:r>
        <w:rPr>
          <w:rStyle w:val="12"/>
          <w:rFonts w:hint="eastAsia" w:ascii="仿宋" w:hAnsi="仿宋" w:eastAsia="仿宋"/>
          <w:sz w:val="28"/>
        </w:rPr>
        <w:t>第六章</w:t>
      </w:r>
      <w:r>
        <w:rPr>
          <w:rStyle w:val="12"/>
          <w:rFonts w:ascii="仿宋" w:hAnsi="仿宋" w:eastAsia="仿宋"/>
          <w:sz w:val="28"/>
        </w:rPr>
        <w:t xml:space="preserve"> </w:t>
      </w:r>
      <w:r>
        <w:rPr>
          <w:rStyle w:val="12"/>
          <w:rFonts w:hint="eastAsia" w:ascii="仿宋" w:hAnsi="仿宋" w:eastAsia="仿宋"/>
          <w:sz w:val="28"/>
        </w:rPr>
        <w:t>评审程序</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_Toc13853049 \h </w:instrText>
      </w:r>
      <w:r>
        <w:rPr>
          <w:rFonts w:ascii="仿宋" w:hAnsi="仿宋" w:eastAsia="仿宋"/>
          <w:sz w:val="28"/>
        </w:rPr>
        <w:fldChar w:fldCharType="separate"/>
      </w:r>
      <w:r>
        <w:rPr>
          <w:rFonts w:ascii="仿宋" w:hAnsi="仿宋" w:eastAsia="仿宋"/>
          <w:sz w:val="28"/>
        </w:rPr>
        <w:t>24</w:t>
      </w:r>
      <w:r>
        <w:rPr>
          <w:rFonts w:ascii="仿宋" w:hAnsi="仿宋" w:eastAsia="仿宋"/>
          <w:sz w:val="28"/>
        </w:rPr>
        <w:fldChar w:fldCharType="end"/>
      </w:r>
      <w:r>
        <w:rPr>
          <w:rFonts w:ascii="仿宋" w:hAnsi="仿宋" w:eastAsia="仿宋"/>
          <w:sz w:val="28"/>
        </w:rPr>
        <w:fldChar w:fldCharType="end"/>
      </w:r>
    </w:p>
    <w:p>
      <w:r>
        <w:rPr>
          <w:rFonts w:ascii="仿宋" w:hAnsi="仿宋" w:eastAsia="仿宋"/>
          <w:b/>
          <w:bCs/>
          <w:sz w:val="40"/>
          <w:szCs w:val="28"/>
          <w:lang w:val="zh-CN"/>
        </w:rPr>
        <w:fldChar w:fldCharType="end"/>
      </w:r>
    </w:p>
    <w:p>
      <w:pPr>
        <w:pStyle w:val="8"/>
      </w:pPr>
      <w:r>
        <w:br w:type="page"/>
      </w:r>
      <w:bookmarkStart w:id="0" w:name="_Toc13853044"/>
      <w:r>
        <w:rPr>
          <w:rFonts w:hint="eastAsia"/>
        </w:rPr>
        <w:t>第一章 采购公告</w:t>
      </w:r>
      <w:bookmarkEnd w:id="0"/>
    </w:p>
    <w:p>
      <w:pPr>
        <w:spacing w:after="156" w:afterLines="50"/>
        <w:ind w:firstLine="480" w:firstLineChars="200"/>
        <w:rPr>
          <w:rFonts w:eastAsia="仿宋"/>
          <w:sz w:val="24"/>
        </w:rPr>
      </w:pPr>
      <w:r>
        <w:rPr>
          <w:rFonts w:hint="eastAsia" w:eastAsia="仿宋"/>
          <w:sz w:val="24"/>
        </w:rPr>
        <w:t xml:space="preserve">青岛开放大学综合楼1000M互联网专线服务项目采取校内招标方式，欢迎符合条件的软件公司参加投标。 </w:t>
      </w:r>
    </w:p>
    <w:p>
      <w:pPr>
        <w:spacing w:after="156" w:afterLines="50"/>
        <w:ind w:firstLine="480" w:firstLineChars="200"/>
        <w:outlineLvl w:val="1"/>
        <w:rPr>
          <w:rFonts w:eastAsia="仿宋"/>
          <w:sz w:val="24"/>
        </w:rPr>
      </w:pPr>
      <w:r>
        <w:rPr>
          <w:rFonts w:hint="eastAsia" w:eastAsia="仿宋"/>
          <w:sz w:val="24"/>
        </w:rPr>
        <w:t>一、项目名称</w:t>
      </w:r>
    </w:p>
    <w:p>
      <w:pPr>
        <w:spacing w:after="156" w:afterLines="50"/>
        <w:ind w:firstLine="480" w:firstLineChars="200"/>
        <w:rPr>
          <w:rFonts w:eastAsia="仿宋"/>
          <w:sz w:val="24"/>
        </w:rPr>
      </w:pPr>
      <w:r>
        <w:rPr>
          <w:rFonts w:hint="eastAsia" w:eastAsia="仿宋"/>
          <w:sz w:val="24"/>
        </w:rPr>
        <w:t>青岛开放大学综合楼1000M互联网专线服务项目</w:t>
      </w:r>
    </w:p>
    <w:p>
      <w:pPr>
        <w:spacing w:after="156" w:afterLines="50"/>
        <w:ind w:firstLine="480" w:firstLineChars="200"/>
        <w:outlineLvl w:val="1"/>
        <w:rPr>
          <w:rFonts w:eastAsia="仿宋"/>
          <w:sz w:val="24"/>
        </w:rPr>
      </w:pPr>
      <w:r>
        <w:rPr>
          <w:rFonts w:hint="eastAsia" w:eastAsia="仿宋"/>
          <w:sz w:val="24"/>
        </w:rPr>
        <w:t>二、项目内容</w:t>
      </w:r>
    </w:p>
    <w:p>
      <w:pPr>
        <w:spacing w:after="156" w:afterLines="50"/>
        <w:ind w:firstLine="480" w:firstLineChars="200"/>
        <w:rPr>
          <w:rFonts w:eastAsia="仿宋"/>
          <w:sz w:val="24"/>
        </w:rPr>
      </w:pPr>
      <w:r>
        <w:rPr>
          <w:rFonts w:hint="eastAsia" w:eastAsia="仿宋"/>
          <w:sz w:val="24"/>
        </w:rPr>
        <w:t>青岛开放大学综合楼互联网专线，提供1000M带宽的专用网络链路，以实现方便快捷的高速互联网上网服务。项目费用包括专线租赁、光纤接入、安装调试及相关设备费用。</w:t>
      </w:r>
    </w:p>
    <w:p>
      <w:pPr>
        <w:spacing w:after="156" w:afterLines="50"/>
        <w:ind w:firstLine="480" w:firstLineChars="200"/>
        <w:outlineLvl w:val="1"/>
        <w:rPr>
          <w:rFonts w:ascii="仿宋" w:hAnsi="仿宋" w:eastAsia="仿宋"/>
          <w:sz w:val="24"/>
        </w:rPr>
      </w:pPr>
      <w:r>
        <w:rPr>
          <w:rFonts w:hint="eastAsia" w:ascii="仿宋" w:hAnsi="仿宋" w:eastAsia="仿宋"/>
          <w:sz w:val="24"/>
        </w:rPr>
        <w:t>三、采购预算</w:t>
      </w:r>
    </w:p>
    <w:p>
      <w:pPr>
        <w:spacing w:after="156" w:afterLines="50"/>
        <w:ind w:firstLine="480" w:firstLineChars="200"/>
        <w:rPr>
          <w:rFonts w:ascii="仿宋" w:hAnsi="仿宋" w:eastAsia="仿宋"/>
          <w:sz w:val="24"/>
        </w:rPr>
      </w:pPr>
      <w:r>
        <w:rPr>
          <w:rFonts w:hint="eastAsia" w:ascii="仿宋" w:hAnsi="仿宋" w:eastAsia="仿宋"/>
          <w:sz w:val="24"/>
        </w:rPr>
        <w:t>本项目采购预算为10.8万元(含税</w:t>
      </w:r>
      <w:r>
        <w:rPr>
          <w:rFonts w:ascii="仿宋" w:hAnsi="仿宋" w:eastAsia="仿宋"/>
          <w:sz w:val="24"/>
        </w:rPr>
        <w:t>价</w:t>
      </w:r>
      <w:r>
        <w:rPr>
          <w:rFonts w:hint="eastAsia" w:ascii="仿宋" w:hAnsi="仿宋" w:eastAsia="仿宋"/>
          <w:sz w:val="24"/>
        </w:rPr>
        <w:t>)。</w:t>
      </w:r>
    </w:p>
    <w:p>
      <w:pPr>
        <w:spacing w:after="156" w:afterLines="50"/>
        <w:ind w:firstLine="480" w:firstLineChars="200"/>
        <w:outlineLvl w:val="1"/>
        <w:rPr>
          <w:rFonts w:ascii="仿宋" w:hAnsi="仿宋" w:eastAsia="仿宋"/>
          <w:sz w:val="24"/>
        </w:rPr>
      </w:pPr>
      <w:r>
        <w:rPr>
          <w:rFonts w:hint="eastAsia" w:ascii="仿宋" w:hAnsi="仿宋" w:eastAsia="仿宋"/>
          <w:sz w:val="24"/>
        </w:rPr>
        <w:t>四、供应商资格、资质要求</w:t>
      </w:r>
    </w:p>
    <w:p>
      <w:pPr>
        <w:spacing w:after="156" w:afterLines="50"/>
        <w:ind w:firstLine="480" w:firstLineChars="200"/>
        <w:rPr>
          <w:rFonts w:ascii="仿宋" w:hAnsi="仿宋" w:eastAsia="仿宋"/>
          <w:sz w:val="24"/>
        </w:rPr>
      </w:pPr>
      <w:r>
        <w:rPr>
          <w:rFonts w:hint="eastAsia" w:ascii="仿宋" w:hAnsi="仿宋" w:eastAsia="仿宋"/>
          <w:sz w:val="24"/>
        </w:rPr>
        <w:t>1、具有独立承担民事责任能力的法人或其分支机构。</w:t>
      </w:r>
    </w:p>
    <w:p>
      <w:pPr>
        <w:spacing w:after="156" w:afterLines="50"/>
        <w:ind w:firstLine="480" w:firstLineChars="200"/>
        <w:rPr>
          <w:rFonts w:ascii="仿宋" w:hAnsi="仿宋" w:eastAsia="仿宋"/>
          <w:sz w:val="24"/>
        </w:rPr>
      </w:pPr>
      <w:r>
        <w:rPr>
          <w:rFonts w:hint="eastAsia" w:ascii="仿宋" w:hAnsi="仿宋" w:eastAsia="仿宋"/>
          <w:sz w:val="24"/>
        </w:rPr>
        <w:t>2、招标公告发布之日止前三年内无行贿犯罪记录。</w:t>
      </w:r>
    </w:p>
    <w:p>
      <w:pPr>
        <w:spacing w:after="156" w:afterLines="50"/>
        <w:ind w:firstLine="480" w:firstLineChars="200"/>
        <w:rPr>
          <w:rFonts w:ascii="仿宋" w:hAnsi="仿宋" w:eastAsia="仿宋"/>
          <w:sz w:val="24"/>
        </w:rPr>
      </w:pPr>
      <w:r>
        <w:rPr>
          <w:rFonts w:hint="eastAsia" w:ascii="仿宋" w:hAnsi="仿宋" w:eastAsia="仿宋"/>
          <w:sz w:val="24"/>
        </w:rPr>
        <w:t>3、本项目不接受联合体投标。</w:t>
      </w:r>
    </w:p>
    <w:p>
      <w:pPr>
        <w:spacing w:after="156" w:afterLines="50"/>
        <w:ind w:firstLine="480" w:firstLineChars="200"/>
        <w:outlineLvl w:val="1"/>
        <w:rPr>
          <w:rFonts w:ascii="仿宋" w:hAnsi="仿宋" w:eastAsia="仿宋"/>
          <w:sz w:val="24"/>
        </w:rPr>
      </w:pPr>
      <w:r>
        <w:rPr>
          <w:rFonts w:hint="eastAsia" w:ascii="仿宋" w:hAnsi="仿宋" w:eastAsia="仿宋"/>
          <w:sz w:val="24"/>
        </w:rPr>
        <w:t>五、响应文件递交时间及地点</w:t>
      </w:r>
    </w:p>
    <w:p>
      <w:pPr>
        <w:spacing w:after="156" w:afterLines="50"/>
        <w:ind w:firstLine="480" w:firstLineChars="200"/>
        <w:rPr>
          <w:rFonts w:eastAsia="仿宋"/>
          <w:sz w:val="24"/>
        </w:rPr>
      </w:pPr>
      <w:r>
        <w:rPr>
          <w:rFonts w:hint="eastAsia" w:eastAsia="仿宋"/>
          <w:sz w:val="24"/>
        </w:rPr>
        <w:t>时间：2022年9月21日13时30分起至14时30分止。如遇特殊情况，需延期开标时，将在青岛开放大学官网（http://www.qdopenu.cn）上及时发布时间变更信息。</w:t>
      </w:r>
    </w:p>
    <w:p>
      <w:pPr>
        <w:spacing w:after="156" w:afterLines="50"/>
        <w:ind w:firstLine="480" w:firstLineChars="200"/>
        <w:rPr>
          <w:rFonts w:ascii="仿宋" w:hAnsi="仿宋" w:eastAsia="仿宋"/>
          <w:sz w:val="24"/>
        </w:rPr>
      </w:pPr>
      <w:r>
        <w:rPr>
          <w:rFonts w:hint="eastAsia" w:ascii="仿宋" w:hAnsi="仿宋" w:eastAsia="仿宋"/>
          <w:sz w:val="24"/>
        </w:rPr>
        <w:t>地点：青岛市李沧区金水路68号青岛开放大学（青岛创业大学）综合楼410室</w:t>
      </w:r>
    </w:p>
    <w:p>
      <w:pPr>
        <w:spacing w:after="156" w:afterLines="50"/>
        <w:ind w:firstLine="480" w:firstLineChars="200"/>
        <w:rPr>
          <w:rFonts w:ascii="仿宋" w:hAnsi="仿宋" w:eastAsia="仿宋"/>
          <w:sz w:val="24"/>
        </w:rPr>
      </w:pPr>
      <w:r>
        <w:rPr>
          <w:rFonts w:hint="eastAsia" w:ascii="仿宋" w:hAnsi="仿宋" w:eastAsia="仿宋"/>
          <w:sz w:val="24"/>
        </w:rPr>
        <w:t>逾期递交或未送达指定地点的响应文件不予接受。</w:t>
      </w:r>
    </w:p>
    <w:p>
      <w:pPr>
        <w:spacing w:after="156" w:afterLines="50"/>
        <w:ind w:firstLine="480" w:firstLineChars="200"/>
        <w:rPr>
          <w:rFonts w:ascii="仿宋" w:hAnsi="仿宋" w:eastAsia="仿宋"/>
          <w:sz w:val="24"/>
        </w:rPr>
      </w:pPr>
      <w:r>
        <w:rPr>
          <w:rFonts w:hint="eastAsia" w:ascii="仿宋" w:hAnsi="仿宋" w:eastAsia="仿宋"/>
          <w:sz w:val="24"/>
        </w:rPr>
        <w:t>六、开标时间以及地点</w:t>
      </w:r>
    </w:p>
    <w:p>
      <w:pPr>
        <w:spacing w:after="156" w:afterLines="50"/>
        <w:ind w:firstLine="480" w:firstLineChars="200"/>
        <w:rPr>
          <w:rFonts w:eastAsia="仿宋"/>
          <w:sz w:val="24"/>
        </w:rPr>
      </w:pPr>
      <w:r>
        <w:rPr>
          <w:rFonts w:hint="eastAsia" w:eastAsia="仿宋"/>
          <w:sz w:val="24"/>
        </w:rPr>
        <w:t>时间：2022年9月21日14时30分。如遇特殊情况，需延期开标时，将在青岛开放大学官网（http://www.qdopenu.cn）上及时发布时间变更信息。</w:t>
      </w:r>
    </w:p>
    <w:p>
      <w:pPr>
        <w:spacing w:after="156" w:afterLines="50"/>
        <w:ind w:firstLine="480" w:firstLineChars="200"/>
        <w:rPr>
          <w:rFonts w:ascii="仿宋" w:hAnsi="仿宋" w:eastAsia="仿宋"/>
          <w:sz w:val="24"/>
        </w:rPr>
      </w:pPr>
      <w:r>
        <w:rPr>
          <w:rFonts w:hint="eastAsia" w:ascii="仿宋" w:hAnsi="仿宋" w:eastAsia="仿宋"/>
          <w:sz w:val="24"/>
        </w:rPr>
        <w:t>地点：青岛市李沧区金水路68号青岛开放大学（青岛创业大学）综合楼1206室</w:t>
      </w:r>
    </w:p>
    <w:p>
      <w:pPr>
        <w:spacing w:after="156" w:afterLines="50"/>
        <w:ind w:firstLine="480" w:firstLineChars="200"/>
        <w:outlineLvl w:val="1"/>
        <w:rPr>
          <w:rFonts w:ascii="仿宋" w:hAnsi="仿宋" w:eastAsia="仿宋"/>
          <w:sz w:val="24"/>
        </w:rPr>
      </w:pPr>
      <w:r>
        <w:rPr>
          <w:rFonts w:hint="eastAsia" w:ascii="仿宋" w:hAnsi="仿宋" w:eastAsia="仿宋"/>
          <w:sz w:val="24"/>
        </w:rPr>
        <w:t>七、联系方式</w:t>
      </w:r>
    </w:p>
    <w:p>
      <w:pPr>
        <w:spacing w:after="156" w:afterLines="50"/>
        <w:ind w:firstLine="480" w:firstLineChars="200"/>
        <w:rPr>
          <w:rFonts w:ascii="仿宋" w:hAnsi="仿宋" w:eastAsia="仿宋"/>
          <w:sz w:val="24"/>
        </w:rPr>
      </w:pPr>
      <w:r>
        <w:rPr>
          <w:rFonts w:hint="eastAsia" w:ascii="仿宋" w:hAnsi="仿宋" w:eastAsia="仿宋"/>
          <w:sz w:val="24"/>
        </w:rPr>
        <w:t xml:space="preserve">      招标人：青岛开放大学</w:t>
      </w:r>
    </w:p>
    <w:p>
      <w:pPr>
        <w:spacing w:after="156" w:afterLines="50"/>
        <w:ind w:firstLine="480" w:firstLineChars="200"/>
        <w:rPr>
          <w:rFonts w:ascii="仿宋" w:hAnsi="仿宋" w:eastAsia="仿宋"/>
          <w:sz w:val="24"/>
        </w:rPr>
      </w:pPr>
      <w:r>
        <w:rPr>
          <w:rFonts w:hint="eastAsia" w:ascii="仿宋" w:hAnsi="仿宋" w:eastAsia="仿宋"/>
          <w:sz w:val="24"/>
        </w:rPr>
        <w:t xml:space="preserve">      地址：青岛市李沧区金水路68号</w:t>
      </w:r>
    </w:p>
    <w:p>
      <w:pPr>
        <w:spacing w:after="156" w:afterLines="50"/>
        <w:ind w:firstLine="480" w:firstLineChars="200"/>
        <w:rPr>
          <w:rFonts w:ascii="仿宋" w:hAnsi="仿宋" w:eastAsia="仿宋"/>
          <w:sz w:val="24"/>
        </w:rPr>
      </w:pPr>
      <w:r>
        <w:rPr>
          <w:rFonts w:hint="eastAsia" w:ascii="仿宋" w:hAnsi="仿宋" w:eastAsia="仿宋"/>
          <w:sz w:val="24"/>
        </w:rPr>
        <w:t xml:space="preserve">      联系人：孙苏丽</w:t>
      </w:r>
    </w:p>
    <w:p>
      <w:pPr>
        <w:spacing w:after="156" w:afterLines="50"/>
        <w:ind w:firstLine="480" w:firstLineChars="200"/>
        <w:rPr>
          <w:rFonts w:eastAsia="仿宋"/>
          <w:sz w:val="24"/>
        </w:rPr>
      </w:pPr>
      <w:r>
        <w:rPr>
          <w:rFonts w:hint="eastAsia" w:ascii="仿宋" w:hAnsi="仿宋" w:eastAsia="仿宋"/>
          <w:sz w:val="24"/>
        </w:rPr>
        <w:t xml:space="preserve">      电话：58661933</w:t>
      </w:r>
      <w:r>
        <w:rPr>
          <w:rFonts w:eastAsia="仿宋"/>
          <w:sz w:val="24"/>
        </w:rPr>
        <w:br w:type="page"/>
      </w:r>
    </w:p>
    <w:p>
      <w:pPr>
        <w:pStyle w:val="8"/>
      </w:pPr>
      <w:bookmarkStart w:id="1" w:name="_Toc13853045"/>
      <w:r>
        <w:rPr>
          <w:rFonts w:hint="eastAsia"/>
        </w:rPr>
        <w:t>第二章 投标人应当提交的资格、资信等证明文件</w:t>
      </w:r>
      <w:bookmarkEnd w:id="1"/>
    </w:p>
    <w:p>
      <w:pPr>
        <w:spacing w:after="156" w:afterLines="50"/>
        <w:ind w:firstLine="480" w:firstLineChars="200"/>
        <w:outlineLvl w:val="1"/>
        <w:rPr>
          <w:rFonts w:eastAsia="仿宋"/>
          <w:sz w:val="24"/>
        </w:rPr>
      </w:pPr>
      <w:r>
        <w:rPr>
          <w:rFonts w:hint="eastAsia" w:eastAsia="仿宋"/>
          <w:sz w:val="24"/>
        </w:rPr>
        <w:t>一、证明文件目录</w:t>
      </w:r>
    </w:p>
    <w:tbl>
      <w:tblPr>
        <w:tblStyle w:val="9"/>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795"/>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cs="仿宋"/>
                <w:kern w:val="0"/>
                <w:sz w:val="24"/>
              </w:rPr>
              <w:t>序号</w:t>
            </w:r>
          </w:p>
        </w:tc>
        <w:tc>
          <w:tcPr>
            <w:tcW w:w="2980" w:type="pct"/>
            <w:shd w:val="clear" w:color="auto" w:fill="auto"/>
            <w:vAlign w:val="center"/>
          </w:tcPr>
          <w:p>
            <w:pPr>
              <w:jc w:val="center"/>
              <w:rPr>
                <w:rFonts w:ascii="仿宋" w:hAnsi="仿宋" w:eastAsia="仿宋"/>
                <w:sz w:val="24"/>
              </w:rPr>
            </w:pPr>
            <w:r>
              <w:rPr>
                <w:rFonts w:hint="eastAsia" w:ascii="仿宋" w:hAnsi="仿宋" w:eastAsia="仿宋" w:cs="仿宋"/>
                <w:kern w:val="0"/>
                <w:sz w:val="24"/>
              </w:rPr>
              <w:t>证明材料名称</w:t>
            </w:r>
          </w:p>
        </w:tc>
        <w:tc>
          <w:tcPr>
            <w:tcW w:w="1587" w:type="pct"/>
            <w:shd w:val="clear" w:color="auto" w:fill="auto"/>
            <w:vAlign w:val="center"/>
          </w:tcPr>
          <w:p>
            <w:pPr>
              <w:jc w:val="center"/>
              <w:rPr>
                <w:rFonts w:ascii="仿宋" w:hAnsi="仿宋" w:eastAsia="仿宋"/>
                <w:sz w:val="24"/>
              </w:rPr>
            </w:pPr>
            <w:r>
              <w:rPr>
                <w:rFonts w:hint="eastAsia" w:ascii="仿宋" w:hAnsi="仿宋" w:eastAsia="仿宋" w:cs="仿宋"/>
                <w:kern w:val="0"/>
                <w:sz w:val="24"/>
              </w:rPr>
              <w:t>提供形式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80" w:type="pct"/>
            <w:shd w:val="clear" w:color="auto" w:fill="auto"/>
            <w:vAlign w:val="center"/>
          </w:tcPr>
          <w:p>
            <w:pPr>
              <w:jc w:val="left"/>
              <w:rPr>
                <w:rFonts w:ascii="仿宋" w:hAnsi="仿宋" w:eastAsia="仿宋"/>
                <w:sz w:val="24"/>
              </w:rPr>
            </w:pPr>
            <w:r>
              <w:rPr>
                <w:rFonts w:hint="eastAsia" w:ascii="仿宋" w:hAnsi="仿宋" w:eastAsia="仿宋"/>
                <w:kern w:val="1"/>
                <w:sz w:val="24"/>
              </w:rPr>
              <w:t>营业执照</w:t>
            </w:r>
          </w:p>
        </w:tc>
        <w:tc>
          <w:tcPr>
            <w:tcW w:w="1587" w:type="pct"/>
            <w:shd w:val="clear" w:color="auto" w:fill="auto"/>
            <w:vAlign w:val="center"/>
          </w:tcPr>
          <w:p>
            <w:pPr>
              <w:jc w:val="center"/>
              <w:rPr>
                <w:rFonts w:ascii="仿宋" w:hAnsi="仿宋" w:eastAsia="仿宋"/>
                <w:kern w:val="1"/>
                <w:sz w:val="24"/>
              </w:rPr>
            </w:pPr>
            <w:r>
              <w:rPr>
                <w:rFonts w:hint="eastAsia" w:ascii="仿宋" w:hAnsi="仿宋" w:eastAsia="仿宋"/>
                <w:kern w:val="1"/>
                <w:sz w:val="24"/>
              </w:rPr>
              <w:sym w:font="Wingdings 2" w:char="F052"/>
            </w:r>
            <w:r>
              <w:rPr>
                <w:rFonts w:hint="eastAsia" w:ascii="仿宋" w:hAnsi="仿宋" w:eastAsia="仿宋"/>
                <w:kern w:val="1"/>
                <w:sz w:val="24"/>
              </w:rPr>
              <w:t>原件或</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80" w:type="pct"/>
            <w:shd w:val="clear" w:color="auto" w:fill="auto"/>
            <w:vAlign w:val="center"/>
          </w:tcPr>
          <w:p>
            <w:pPr>
              <w:rPr>
                <w:rFonts w:ascii="仿宋" w:hAnsi="仿宋" w:eastAsia="仿宋"/>
                <w:sz w:val="24"/>
              </w:rPr>
            </w:pPr>
            <w:r>
              <w:rPr>
                <w:rFonts w:hint="eastAsia" w:ascii="仿宋" w:hAnsi="仿宋" w:eastAsia="仿宋"/>
                <w:sz w:val="24"/>
              </w:rPr>
              <w:t>缴纳税收和社会保障资金的相关材料</w:t>
            </w:r>
          </w:p>
        </w:tc>
        <w:tc>
          <w:tcPr>
            <w:tcW w:w="1587" w:type="pct"/>
            <w:shd w:val="clear" w:color="auto" w:fill="auto"/>
            <w:vAlign w:val="center"/>
          </w:tcPr>
          <w:p>
            <w:pPr>
              <w:jc w:val="center"/>
              <w:rPr>
                <w:rFonts w:ascii="仿宋" w:hAnsi="仿宋" w:eastAsia="仿宋"/>
                <w:kern w:val="1"/>
                <w:sz w:val="24"/>
              </w:rPr>
            </w:pPr>
            <w:r>
              <w:rPr>
                <w:rFonts w:hint="eastAsia" w:ascii="仿宋" w:hAnsi="仿宋" w:eastAsia="仿宋"/>
                <w:kern w:val="1"/>
                <w:sz w:val="24"/>
              </w:rPr>
              <w:sym w:font="Wingdings 2" w:char="F052"/>
            </w:r>
            <w:r>
              <w:rPr>
                <w:rFonts w:hint="eastAsia" w:ascii="仿宋" w:hAnsi="仿宋" w:eastAsia="仿宋"/>
                <w:kern w:val="1"/>
                <w:sz w:val="24"/>
              </w:rPr>
              <w:t>原件或</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3</w:t>
            </w:r>
          </w:p>
        </w:tc>
        <w:tc>
          <w:tcPr>
            <w:tcW w:w="2980" w:type="pct"/>
            <w:shd w:val="clear" w:color="auto" w:fill="auto"/>
            <w:vAlign w:val="center"/>
          </w:tcPr>
          <w:p>
            <w:pPr>
              <w:rPr>
                <w:rFonts w:ascii="仿宋" w:hAnsi="仿宋" w:eastAsia="仿宋"/>
                <w:sz w:val="24"/>
              </w:rPr>
            </w:pPr>
            <w:r>
              <w:rPr>
                <w:rFonts w:hint="eastAsia" w:ascii="仿宋" w:hAnsi="仿宋" w:eastAsia="仿宋"/>
                <w:sz w:val="24"/>
              </w:rPr>
              <w:t>财务状况报告</w:t>
            </w:r>
          </w:p>
        </w:tc>
        <w:tc>
          <w:tcPr>
            <w:tcW w:w="1587" w:type="pct"/>
            <w:shd w:val="clear" w:color="auto" w:fill="auto"/>
            <w:vAlign w:val="center"/>
          </w:tcPr>
          <w:p>
            <w:pPr>
              <w:jc w:val="center"/>
              <w:rPr>
                <w:rFonts w:ascii="仿宋" w:hAnsi="仿宋" w:eastAsia="仿宋"/>
                <w:sz w:val="24"/>
              </w:rPr>
            </w:pPr>
            <w:r>
              <w:rPr>
                <w:rFonts w:hint="eastAsia" w:ascii="仿宋" w:hAnsi="仿宋" w:eastAsia="仿宋"/>
                <w:kern w:val="1"/>
                <w:sz w:val="24"/>
              </w:rPr>
              <w:sym w:font="Wingdings 2" w:char="F052"/>
            </w:r>
            <w:r>
              <w:rPr>
                <w:rFonts w:hint="eastAsia" w:ascii="仿宋" w:hAnsi="仿宋" w:eastAsia="仿宋"/>
                <w:kern w:val="1"/>
                <w:sz w:val="24"/>
              </w:rPr>
              <w:t>原件或</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4</w:t>
            </w:r>
          </w:p>
        </w:tc>
        <w:tc>
          <w:tcPr>
            <w:tcW w:w="2980" w:type="pct"/>
            <w:shd w:val="clear" w:color="auto" w:fill="auto"/>
            <w:vAlign w:val="center"/>
          </w:tcPr>
          <w:p>
            <w:pPr>
              <w:jc w:val="left"/>
              <w:rPr>
                <w:rFonts w:ascii="仿宋" w:hAnsi="仿宋" w:eastAsia="仿宋"/>
                <w:sz w:val="24"/>
              </w:rPr>
            </w:pPr>
            <w:r>
              <w:rPr>
                <w:rFonts w:hint="eastAsia" w:ascii="仿宋" w:hAnsi="仿宋" w:eastAsia="仿宋"/>
                <w:sz w:val="24"/>
              </w:rPr>
              <w:t>资格证书</w:t>
            </w:r>
          </w:p>
        </w:tc>
        <w:tc>
          <w:tcPr>
            <w:tcW w:w="1587" w:type="pct"/>
            <w:shd w:val="clear" w:color="auto" w:fill="auto"/>
            <w:vAlign w:val="center"/>
          </w:tcPr>
          <w:p>
            <w:pPr>
              <w:jc w:val="center"/>
              <w:rPr>
                <w:rFonts w:ascii="仿宋" w:hAnsi="仿宋" w:eastAsia="仿宋"/>
                <w:kern w:val="1"/>
                <w:sz w:val="24"/>
              </w:rPr>
            </w:pPr>
            <w:r>
              <w:rPr>
                <w:rFonts w:hint="eastAsia" w:ascii="仿宋" w:hAnsi="仿宋" w:eastAsia="仿宋"/>
                <w:kern w:val="1"/>
                <w:sz w:val="24"/>
              </w:rPr>
              <w:t xml:space="preserve">□原件  </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5</w:t>
            </w:r>
          </w:p>
        </w:tc>
        <w:tc>
          <w:tcPr>
            <w:tcW w:w="2980" w:type="pct"/>
            <w:shd w:val="clear" w:color="auto" w:fill="auto"/>
            <w:vAlign w:val="center"/>
          </w:tcPr>
          <w:p>
            <w:pPr>
              <w:jc w:val="left"/>
              <w:rPr>
                <w:rFonts w:ascii="仿宋" w:hAnsi="仿宋" w:eastAsia="仿宋"/>
                <w:sz w:val="24"/>
              </w:rPr>
            </w:pPr>
            <w:r>
              <w:rPr>
                <w:rFonts w:hint="eastAsia" w:ascii="仿宋" w:hAnsi="仿宋" w:eastAsia="仿宋"/>
                <w:sz w:val="24"/>
              </w:rPr>
              <w:t>社保证明</w:t>
            </w:r>
          </w:p>
        </w:tc>
        <w:tc>
          <w:tcPr>
            <w:tcW w:w="1587" w:type="pct"/>
            <w:shd w:val="clear" w:color="auto" w:fill="auto"/>
            <w:vAlign w:val="center"/>
          </w:tcPr>
          <w:p>
            <w:pPr>
              <w:jc w:val="center"/>
              <w:rPr>
                <w:rFonts w:ascii="仿宋" w:hAnsi="仿宋" w:eastAsia="仿宋"/>
                <w:kern w:val="1"/>
                <w:sz w:val="24"/>
              </w:rPr>
            </w:pPr>
            <w:r>
              <w:rPr>
                <w:rFonts w:hint="eastAsia" w:ascii="仿宋" w:hAnsi="仿宋" w:eastAsia="仿宋"/>
                <w:kern w:val="1"/>
                <w:sz w:val="24"/>
              </w:rPr>
              <w:t>□原件</w:t>
            </w:r>
            <w:r>
              <w:rPr>
                <w:rFonts w:ascii="仿宋" w:hAnsi="仿宋" w:eastAsia="仿宋"/>
                <w:kern w:val="1"/>
                <w:sz w:val="24"/>
              </w:rPr>
              <w:t xml:space="preserve">  </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6</w:t>
            </w:r>
          </w:p>
        </w:tc>
        <w:tc>
          <w:tcPr>
            <w:tcW w:w="2980" w:type="pct"/>
            <w:shd w:val="clear" w:color="auto" w:fill="auto"/>
            <w:vAlign w:val="center"/>
          </w:tcPr>
          <w:p>
            <w:pPr>
              <w:rPr>
                <w:rFonts w:ascii="仿宋" w:hAnsi="仿宋" w:eastAsia="仿宋"/>
                <w:kern w:val="1"/>
                <w:sz w:val="24"/>
              </w:rPr>
            </w:pPr>
            <w:r>
              <w:rPr>
                <w:rFonts w:hint="eastAsia" w:ascii="仿宋" w:hAnsi="仿宋" w:eastAsia="仿宋"/>
                <w:sz w:val="24"/>
              </w:rPr>
              <w:t>业绩证明材料（合同）</w:t>
            </w:r>
          </w:p>
        </w:tc>
        <w:tc>
          <w:tcPr>
            <w:tcW w:w="1587" w:type="pct"/>
            <w:shd w:val="clear" w:color="auto" w:fill="auto"/>
            <w:vAlign w:val="center"/>
          </w:tcPr>
          <w:p>
            <w:pPr>
              <w:jc w:val="center"/>
              <w:rPr>
                <w:rFonts w:ascii="仿宋" w:hAnsi="仿宋" w:eastAsia="仿宋"/>
                <w:sz w:val="24"/>
              </w:rPr>
            </w:pPr>
            <w:r>
              <w:rPr>
                <w:rFonts w:hint="eastAsia" w:ascii="仿宋" w:hAnsi="仿宋" w:eastAsia="仿宋"/>
                <w:kern w:val="1"/>
                <w:sz w:val="24"/>
              </w:rPr>
              <w:t>□原件</w:t>
            </w:r>
            <w:r>
              <w:rPr>
                <w:rFonts w:ascii="仿宋" w:hAnsi="仿宋" w:eastAsia="仿宋"/>
                <w:kern w:val="1"/>
                <w:sz w:val="24"/>
              </w:rPr>
              <w:t xml:space="preserve">  </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ascii="仿宋" w:hAnsi="仿宋" w:eastAsia="仿宋"/>
                <w:sz w:val="24"/>
              </w:rPr>
              <w:t>7</w:t>
            </w:r>
          </w:p>
        </w:tc>
        <w:tc>
          <w:tcPr>
            <w:tcW w:w="2980" w:type="pct"/>
            <w:shd w:val="clear" w:color="auto" w:fill="auto"/>
            <w:vAlign w:val="center"/>
          </w:tcPr>
          <w:p>
            <w:pPr>
              <w:rPr>
                <w:rFonts w:ascii="仿宋" w:hAnsi="仿宋" w:eastAsia="仿宋"/>
                <w:kern w:val="1"/>
                <w:sz w:val="24"/>
              </w:rPr>
            </w:pPr>
            <w:r>
              <w:rPr>
                <w:rFonts w:hint="eastAsia" w:ascii="仿宋" w:hAnsi="仿宋" w:eastAsia="仿宋"/>
                <w:sz w:val="24"/>
              </w:rPr>
              <w:t>相关体系认证证书</w:t>
            </w:r>
          </w:p>
        </w:tc>
        <w:tc>
          <w:tcPr>
            <w:tcW w:w="1587" w:type="pct"/>
            <w:shd w:val="clear" w:color="auto" w:fill="auto"/>
            <w:vAlign w:val="center"/>
          </w:tcPr>
          <w:p>
            <w:pPr>
              <w:jc w:val="center"/>
              <w:rPr>
                <w:rFonts w:ascii="仿宋" w:hAnsi="仿宋" w:eastAsia="仿宋"/>
                <w:sz w:val="24"/>
              </w:rPr>
            </w:pPr>
            <w:r>
              <w:rPr>
                <w:rFonts w:hint="eastAsia" w:ascii="仿宋" w:hAnsi="仿宋" w:eastAsia="仿宋"/>
                <w:kern w:val="1"/>
                <w:sz w:val="24"/>
              </w:rPr>
              <w:t>□原件</w:t>
            </w:r>
            <w:r>
              <w:rPr>
                <w:rFonts w:ascii="仿宋" w:hAnsi="仿宋" w:eastAsia="仿宋"/>
                <w:kern w:val="1"/>
                <w:sz w:val="24"/>
              </w:rPr>
              <w:t xml:space="preserve">  </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ascii="仿宋" w:hAnsi="仿宋" w:eastAsia="仿宋"/>
                <w:sz w:val="24"/>
              </w:rPr>
              <w:t>8</w:t>
            </w:r>
          </w:p>
        </w:tc>
        <w:tc>
          <w:tcPr>
            <w:tcW w:w="2980" w:type="pct"/>
            <w:shd w:val="clear" w:color="auto" w:fill="auto"/>
            <w:vAlign w:val="center"/>
          </w:tcPr>
          <w:p>
            <w:pPr>
              <w:rPr>
                <w:rFonts w:ascii="仿宋" w:hAnsi="仿宋" w:eastAsia="仿宋"/>
                <w:kern w:val="1"/>
                <w:sz w:val="24"/>
              </w:rPr>
            </w:pPr>
            <w:r>
              <w:rPr>
                <w:rFonts w:hint="eastAsia" w:ascii="仿宋" w:hAnsi="仿宋" w:eastAsia="仿宋"/>
                <w:kern w:val="1"/>
                <w:sz w:val="24"/>
              </w:rPr>
              <w:t>评标办法中评分所需的其他相关证明材料</w:t>
            </w:r>
          </w:p>
        </w:tc>
        <w:tc>
          <w:tcPr>
            <w:tcW w:w="1587" w:type="pct"/>
            <w:shd w:val="clear" w:color="auto" w:fill="auto"/>
            <w:vAlign w:val="center"/>
          </w:tcPr>
          <w:p>
            <w:pPr>
              <w:jc w:val="center"/>
              <w:rPr>
                <w:rFonts w:ascii="仿宋" w:hAnsi="仿宋" w:eastAsia="仿宋"/>
                <w:sz w:val="24"/>
              </w:rPr>
            </w:pPr>
            <w:r>
              <w:rPr>
                <w:rFonts w:hint="eastAsia" w:ascii="仿宋" w:hAnsi="仿宋" w:eastAsia="仿宋"/>
                <w:kern w:val="1"/>
                <w:sz w:val="24"/>
              </w:rPr>
              <w:t>□原件</w:t>
            </w:r>
            <w:r>
              <w:rPr>
                <w:rFonts w:ascii="仿宋" w:hAnsi="仿宋" w:eastAsia="仿宋"/>
                <w:kern w:val="1"/>
                <w:sz w:val="24"/>
              </w:rPr>
              <w:t xml:space="preserve">  </w:t>
            </w:r>
            <w:r>
              <w:rPr>
                <w:rFonts w:hint="eastAsia" w:ascii="仿宋" w:hAnsi="仿宋" w:eastAsia="仿宋"/>
                <w:kern w:val="1"/>
                <w:sz w:val="24"/>
              </w:rPr>
              <w:sym w:font="Wingdings 2" w:char="F052"/>
            </w:r>
            <w:r>
              <w:rPr>
                <w:rFonts w:hint="eastAsia" w:ascii="仿宋" w:hAnsi="仿宋" w:eastAsia="仿宋"/>
                <w:kern w:val="1"/>
                <w:sz w:val="24"/>
              </w:rPr>
              <w:t>复印件</w:t>
            </w:r>
          </w:p>
        </w:tc>
      </w:tr>
    </w:tbl>
    <w:p>
      <w:pPr>
        <w:spacing w:after="156" w:afterLines="50"/>
        <w:ind w:firstLine="480" w:firstLineChars="200"/>
        <w:rPr>
          <w:rFonts w:eastAsia="仿宋"/>
          <w:sz w:val="24"/>
        </w:rPr>
      </w:pPr>
      <w:r>
        <w:rPr>
          <w:rFonts w:hint="eastAsia" w:eastAsia="仿宋"/>
          <w:sz w:val="24"/>
        </w:rPr>
        <w:t>备注：</w:t>
      </w:r>
    </w:p>
    <w:p>
      <w:pPr>
        <w:spacing w:after="156" w:afterLines="50" w:line="360" w:lineRule="auto"/>
        <w:ind w:firstLine="480" w:firstLineChars="200"/>
        <w:rPr>
          <w:rFonts w:eastAsia="仿宋"/>
          <w:sz w:val="24"/>
        </w:rPr>
      </w:pPr>
      <w:r>
        <w:rPr>
          <w:rFonts w:hint="eastAsia" w:eastAsia="仿宋"/>
          <w:sz w:val="24"/>
        </w:rPr>
        <w:t>（1）开标时，投标人必须提交上述证明材料</w:t>
      </w:r>
      <w:r>
        <w:rPr>
          <w:rFonts w:hint="eastAsia" w:ascii="仿宋" w:hAnsi="仿宋" w:eastAsia="仿宋"/>
          <w:sz w:val="24"/>
        </w:rPr>
        <w:t>1、2</w:t>
      </w:r>
      <w:r>
        <w:rPr>
          <w:rFonts w:hint="eastAsia" w:eastAsia="仿宋"/>
          <w:sz w:val="24"/>
        </w:rPr>
        <w:t>项，未提交或提交不全的视为资格性、符合性审查不合格；</w:t>
      </w:r>
    </w:p>
    <w:p>
      <w:pPr>
        <w:spacing w:after="156" w:afterLines="50" w:line="360" w:lineRule="auto"/>
        <w:ind w:firstLine="480" w:firstLineChars="200"/>
        <w:rPr>
          <w:rFonts w:eastAsia="仿宋"/>
          <w:sz w:val="24"/>
        </w:rPr>
      </w:pPr>
      <w:r>
        <w:rPr>
          <w:rFonts w:hint="eastAsia" w:eastAsia="仿宋"/>
          <w:sz w:val="24"/>
        </w:rPr>
        <w:t>（2）要求提交的证明材料可以是复印件的，需加盖投标人公章；</w:t>
      </w:r>
    </w:p>
    <w:p>
      <w:pPr>
        <w:spacing w:after="156" w:afterLines="50" w:line="360" w:lineRule="auto"/>
        <w:ind w:firstLine="480" w:firstLineChars="200"/>
        <w:rPr>
          <w:rFonts w:eastAsia="仿宋"/>
          <w:sz w:val="24"/>
        </w:rPr>
      </w:pPr>
      <w:r>
        <w:rPr>
          <w:rFonts w:hint="eastAsia" w:eastAsia="仿宋"/>
          <w:sz w:val="24"/>
        </w:rPr>
        <w:t>（3）缴纳税收的证明材料是指投标人税务登记证（或统一社会信用代码营业执照）和参加政府采购活动前一段时间内缴纳增值税、营业税和企业所得税的凭据。缴纳社会保障资金的证明材料是指参加政府活动前一段时间内缴纳社会保险的凭据（专用收据或社会保险缴纳清单），其他组织和自然人也需要提供缴纳税收的凭据和缴纳社会保险的凭据。依法免税或不需要缴纳社会保障资金的投标人，应提供相应文件证明其依法免税或不需要缴纳社会保障资金。</w:t>
      </w:r>
    </w:p>
    <w:p>
      <w:pPr>
        <w:spacing w:after="156" w:afterLines="50"/>
        <w:ind w:firstLine="480" w:firstLineChars="200"/>
        <w:outlineLvl w:val="1"/>
        <w:rPr>
          <w:rFonts w:eastAsia="仿宋"/>
          <w:sz w:val="24"/>
        </w:rPr>
      </w:pPr>
      <w:r>
        <w:rPr>
          <w:rFonts w:hint="eastAsia" w:eastAsia="仿宋"/>
          <w:sz w:val="24"/>
        </w:rPr>
        <w:t>二、其他规定</w:t>
      </w:r>
    </w:p>
    <w:p>
      <w:pPr>
        <w:spacing w:after="156" w:afterLines="50"/>
        <w:ind w:firstLine="480" w:firstLineChars="200"/>
        <w:rPr>
          <w:rFonts w:eastAsia="仿宋"/>
          <w:sz w:val="24"/>
        </w:rPr>
      </w:pPr>
      <w:r>
        <w:rPr>
          <w:rFonts w:hint="eastAsia" w:eastAsia="仿宋"/>
          <w:sz w:val="24"/>
        </w:rPr>
        <w:t>1、投标人的资格证明材料应当真实、有效、完整，字迹、印章要清晰。</w:t>
      </w:r>
    </w:p>
    <w:p>
      <w:pPr>
        <w:spacing w:after="156" w:afterLines="50"/>
        <w:ind w:firstLine="480" w:firstLineChars="200"/>
        <w:rPr>
          <w:rFonts w:eastAsia="仿宋"/>
          <w:sz w:val="24"/>
        </w:rPr>
      </w:pPr>
      <w:r>
        <w:rPr>
          <w:rFonts w:hint="eastAsia" w:eastAsia="仿宋"/>
          <w:sz w:val="24"/>
        </w:rPr>
        <w:t>2、招标文件中所要求的相关证明资料原件，应当在递交投标文件截止时间前与投标文件一并递交，逾期拒绝接收。</w:t>
      </w:r>
    </w:p>
    <w:p>
      <w:pPr>
        <w:spacing w:after="156" w:afterLines="50" w:line="360" w:lineRule="auto"/>
        <w:ind w:firstLine="480" w:firstLineChars="200"/>
        <w:rPr>
          <w:rFonts w:eastAsia="仿宋"/>
          <w:sz w:val="24"/>
        </w:rPr>
      </w:pPr>
      <w:r>
        <w:rPr>
          <w:rFonts w:hint="eastAsia" w:eastAsia="仿宋"/>
          <w:sz w:val="24"/>
        </w:rPr>
        <w:t>3、投标人需收回的证明材料（如合同书、营业执照、相关许可证等）待评审完毕后退还。不需收回的证明材料原件和投标文件一起不予退还，需收回的证明材料原件的复印件（页数过多时，可以提供证明材料的主要条款页复印件）、其他证明材料的复印件应当装订于投标文件中。</w:t>
      </w:r>
    </w:p>
    <w:p>
      <w:pPr>
        <w:spacing w:after="156" w:afterLines="50" w:line="360" w:lineRule="auto"/>
        <w:ind w:firstLine="480" w:firstLineChars="200"/>
        <w:rPr>
          <w:rFonts w:eastAsia="仿宋"/>
          <w:sz w:val="24"/>
        </w:rPr>
      </w:pPr>
      <w:r>
        <w:rPr>
          <w:rFonts w:eastAsia="仿宋"/>
          <w:sz w:val="24"/>
        </w:rPr>
        <w:br w:type="page"/>
      </w:r>
    </w:p>
    <w:p>
      <w:pPr>
        <w:pStyle w:val="8"/>
      </w:pPr>
      <w:bookmarkStart w:id="2" w:name="_Toc13853046"/>
      <w:r>
        <w:rPr>
          <w:rFonts w:hint="eastAsia"/>
        </w:rPr>
        <w:t>第三章 采购需求</w:t>
      </w:r>
      <w:bookmarkEnd w:id="2"/>
    </w:p>
    <w:p>
      <w:pPr>
        <w:spacing w:after="156" w:afterLines="50"/>
        <w:ind w:firstLine="480" w:firstLineChars="200"/>
        <w:outlineLvl w:val="1"/>
        <w:rPr>
          <w:rFonts w:ascii="仿宋" w:hAnsi="仿宋" w:eastAsia="仿宋"/>
          <w:sz w:val="24"/>
        </w:rPr>
      </w:pPr>
      <w:r>
        <w:rPr>
          <w:rFonts w:hint="eastAsia" w:ascii="仿宋" w:hAnsi="仿宋" w:eastAsia="仿宋"/>
          <w:sz w:val="24"/>
        </w:rPr>
        <w:t>一、项目说明</w:t>
      </w:r>
    </w:p>
    <w:p>
      <w:pPr>
        <w:spacing w:after="156" w:afterLines="50"/>
        <w:ind w:firstLine="480" w:firstLineChars="200"/>
        <w:rPr>
          <w:rFonts w:ascii="仿宋" w:hAnsi="仿宋" w:eastAsia="仿宋"/>
          <w:sz w:val="24"/>
        </w:rPr>
      </w:pPr>
      <w:r>
        <w:rPr>
          <w:rFonts w:hint="eastAsia" w:ascii="仿宋" w:hAnsi="仿宋" w:eastAsia="仿宋"/>
          <w:sz w:val="24"/>
        </w:rPr>
        <w:t>1、本章内容是根据采购项目的实际需求制定的。</w:t>
      </w:r>
    </w:p>
    <w:p>
      <w:pPr>
        <w:spacing w:after="156" w:afterLines="50"/>
        <w:ind w:firstLine="480" w:firstLineChars="200"/>
        <w:rPr>
          <w:rFonts w:ascii="仿宋" w:hAnsi="仿宋" w:eastAsia="仿宋"/>
          <w:sz w:val="24"/>
        </w:rPr>
      </w:pPr>
      <w:r>
        <w:rPr>
          <w:rFonts w:hint="eastAsia" w:ascii="仿宋" w:hAnsi="仿宋" w:eastAsia="仿宋"/>
          <w:sz w:val="24"/>
        </w:rPr>
        <w:t>2、本项目共分为1个包进行招标。投标人所报价格应为含税全包价，包含提供相关服务的所有费用，合同存续期间采购人不额外支付任何费用。</w:t>
      </w:r>
    </w:p>
    <w:p>
      <w:pPr>
        <w:spacing w:after="156" w:afterLines="50"/>
        <w:ind w:firstLine="480" w:firstLineChars="200"/>
        <w:rPr>
          <w:rFonts w:ascii="仿宋" w:hAnsi="仿宋" w:eastAsia="仿宋"/>
          <w:sz w:val="24"/>
        </w:rPr>
      </w:pPr>
      <w:r>
        <w:rPr>
          <w:rFonts w:hint="eastAsia" w:ascii="仿宋" w:hAnsi="仿宋" w:eastAsia="仿宋"/>
          <w:sz w:val="24"/>
        </w:rPr>
        <w:t>3、属于信息网络开发服务的，投标人中标后应向招标人提供源代码以及文档等技术资料。</w:t>
      </w:r>
    </w:p>
    <w:p>
      <w:pPr>
        <w:spacing w:after="156" w:afterLines="50"/>
        <w:ind w:firstLine="480" w:firstLineChars="200"/>
        <w:outlineLvl w:val="1"/>
        <w:rPr>
          <w:rFonts w:ascii="仿宋" w:hAnsi="仿宋" w:eastAsia="仿宋"/>
          <w:color w:val="FF0000"/>
          <w:sz w:val="24"/>
        </w:rPr>
      </w:pPr>
      <w:r>
        <w:rPr>
          <w:rFonts w:hint="eastAsia" w:ascii="仿宋" w:hAnsi="仿宋" w:eastAsia="仿宋"/>
          <w:sz w:val="24"/>
        </w:rPr>
        <w:t>二、服务要求（包括附件、图纸等）</w:t>
      </w:r>
    </w:p>
    <w:p>
      <w:pPr>
        <w:spacing w:after="156" w:afterLines="50"/>
        <w:ind w:firstLine="480" w:firstLineChars="200"/>
        <w:rPr>
          <w:rFonts w:ascii="仿宋" w:hAnsi="仿宋" w:eastAsia="仿宋"/>
          <w:sz w:val="24"/>
        </w:rPr>
      </w:pPr>
      <w:bookmarkStart w:id="3" w:name="_Toc518288094"/>
      <w:bookmarkStart w:id="4" w:name="_Toc494456846"/>
      <w:r>
        <w:rPr>
          <w:rFonts w:hint="eastAsia" w:ascii="仿宋" w:hAnsi="仿宋" w:eastAsia="仿宋"/>
          <w:sz w:val="24"/>
        </w:rPr>
        <w:t>结合学院数字校园建设规划，基础无线网络推动着教育信息化的发展，满足学历教育、网络在线课堂、日常办公等上网需求，拟采购1000M带宽专线服务，需具备良好的带宽升级和扩展基础。</w:t>
      </w:r>
    </w:p>
    <w:p>
      <w:pPr>
        <w:spacing w:after="156" w:afterLines="50"/>
        <w:ind w:firstLine="480" w:firstLineChars="200"/>
        <w:outlineLvl w:val="1"/>
        <w:rPr>
          <w:rFonts w:ascii="仿宋" w:hAnsi="仿宋" w:eastAsia="仿宋"/>
          <w:sz w:val="24"/>
        </w:rPr>
      </w:pPr>
      <w:r>
        <w:rPr>
          <w:rFonts w:hint="eastAsia" w:ascii="仿宋" w:hAnsi="仿宋" w:eastAsia="仿宋"/>
          <w:sz w:val="24"/>
        </w:rPr>
        <w:t>三、技术要求：</w:t>
      </w:r>
    </w:p>
    <w:p>
      <w:pPr>
        <w:widowControl/>
        <w:spacing w:line="360" w:lineRule="auto"/>
        <w:ind w:firstLine="482"/>
        <w:rPr>
          <w:rFonts w:ascii="仿宋" w:hAnsi="仿宋" w:eastAsia="仿宋"/>
          <w:sz w:val="24"/>
        </w:rPr>
      </w:pPr>
      <w:bookmarkStart w:id="5" w:name="_Toc331838269"/>
      <w:bookmarkStart w:id="6" w:name="_Toc221589339"/>
      <w:r>
        <w:rPr>
          <w:rFonts w:hint="eastAsia" w:ascii="仿宋" w:hAnsi="仿宋" w:eastAsia="仿宋"/>
          <w:sz w:val="24"/>
        </w:rPr>
        <w:t>带“★”条款为实质性条款，投标人必须按照招标文件的要求做出实质性响应。</w:t>
      </w:r>
    </w:p>
    <w:bookmarkEnd w:id="5"/>
    <w:bookmarkEnd w:id="6"/>
    <w:p>
      <w:pPr>
        <w:pStyle w:val="2"/>
      </w:pP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2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18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Arial"/>
                <w:b/>
                <w:bCs/>
                <w:sz w:val="18"/>
                <w:szCs w:val="18"/>
              </w:rPr>
            </w:pPr>
            <w:r>
              <w:rPr>
                <w:rFonts w:hint="eastAsia" w:ascii="宋体" w:hAnsi="宋体" w:cs="Arial"/>
                <w:b/>
                <w:bCs/>
                <w:sz w:val="18"/>
                <w:szCs w:val="18"/>
              </w:rPr>
              <w:t>指标项</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Arial"/>
                <w:b/>
                <w:bCs/>
                <w:sz w:val="18"/>
                <w:szCs w:val="18"/>
              </w:rPr>
            </w:pPr>
            <w:r>
              <w:rPr>
                <w:rFonts w:hint="eastAsia" w:ascii="宋体" w:hAnsi="宋体" w:cs="Arial"/>
                <w:b/>
                <w:bCs/>
                <w:sz w:val="18"/>
                <w:szCs w:val="18"/>
              </w:rPr>
              <w:t>指标要求</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Arial"/>
                <w:b/>
                <w:bCs/>
              </w:rPr>
            </w:pPr>
            <w:r>
              <w:rPr>
                <w:rFonts w:hint="eastAsia" w:ascii="宋体" w:hAnsi="宋体" w:cs="Arial"/>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809" w:type="dxa"/>
            <w:tcBorders>
              <w:top w:val="single" w:color="auto" w:sz="4" w:space="0"/>
              <w:left w:val="single" w:color="auto" w:sz="4" w:space="0"/>
              <w:right w:val="single" w:color="auto" w:sz="4" w:space="0"/>
            </w:tcBorders>
            <w:vAlign w:val="center"/>
          </w:tcPr>
          <w:p>
            <w:pPr>
              <w:spacing w:line="360" w:lineRule="auto"/>
              <w:jc w:val="center"/>
              <w:rPr>
                <w:rFonts w:ascii="宋体" w:hAnsi="宋体" w:cs="Arial"/>
                <w:b/>
                <w:bCs/>
                <w:sz w:val="18"/>
                <w:szCs w:val="18"/>
              </w:rPr>
            </w:pPr>
            <w:r>
              <w:rPr>
                <w:rFonts w:hint="eastAsia" w:ascii="宋体" w:hAnsi="宋体" w:cs="宋体"/>
                <w:b/>
                <w:bCs/>
                <w:sz w:val="18"/>
                <w:szCs w:val="18"/>
              </w:rPr>
              <w:t>性</w:t>
            </w:r>
            <w:r>
              <w:rPr>
                <w:rFonts w:ascii="宋体" w:hAnsi="宋体" w:cs="宋体"/>
                <w:b/>
                <w:bCs/>
                <w:sz w:val="18"/>
                <w:szCs w:val="18"/>
              </w:rPr>
              <w:t>能</w:t>
            </w:r>
            <w:r>
              <w:rPr>
                <w:rFonts w:hint="eastAsia" w:ascii="宋体" w:hAnsi="宋体" w:cs="Arial"/>
                <w:b/>
                <w:bCs/>
                <w:sz w:val="18"/>
                <w:szCs w:val="18"/>
              </w:rPr>
              <w:t>指标</w:t>
            </w:r>
          </w:p>
        </w:tc>
        <w:tc>
          <w:tcPr>
            <w:tcW w:w="6237" w:type="dxa"/>
            <w:tcBorders>
              <w:top w:val="single" w:color="auto" w:sz="4" w:space="0"/>
              <w:left w:val="single" w:color="auto" w:sz="4" w:space="0"/>
              <w:right w:val="single" w:color="auto" w:sz="4" w:space="0"/>
            </w:tcBorders>
            <w:vAlign w:val="center"/>
          </w:tcPr>
          <w:p>
            <w:pPr>
              <w:spacing w:line="360" w:lineRule="auto"/>
              <w:rPr>
                <w:rFonts w:ascii="宋体" w:hAnsi="宋体" w:cs="Arial"/>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、提供</w:t>
            </w:r>
            <w:r>
              <w:rPr>
                <w:rFonts w:hint="eastAsia" w:ascii="宋体" w:hAnsi="宋体" w:cs="Arial"/>
                <w:bCs/>
                <w:sz w:val="18"/>
                <w:szCs w:val="18"/>
              </w:rPr>
              <w:t>互</w:t>
            </w:r>
            <w:r>
              <w:rPr>
                <w:rFonts w:ascii="宋体" w:hAnsi="宋体" w:cs="Arial"/>
                <w:bCs/>
                <w:sz w:val="18"/>
                <w:szCs w:val="18"/>
              </w:rPr>
              <w:t>联网</w:t>
            </w:r>
            <w:r>
              <w:rPr>
                <w:rFonts w:hint="eastAsia" w:ascii="宋体" w:hAnsi="宋体" w:cs="Arial"/>
                <w:bCs/>
                <w:sz w:val="18"/>
                <w:szCs w:val="18"/>
              </w:rPr>
              <w:t>独</w:t>
            </w:r>
            <w:r>
              <w:rPr>
                <w:rFonts w:ascii="宋体" w:hAnsi="宋体" w:cs="Arial"/>
                <w:bCs/>
                <w:sz w:val="18"/>
                <w:szCs w:val="18"/>
              </w:rPr>
              <w:t>享</w:t>
            </w:r>
            <w:r>
              <w:rPr>
                <w:rFonts w:hint="eastAsia" w:ascii="宋体" w:hAnsi="宋体" w:cs="Arial"/>
                <w:bCs/>
                <w:sz w:val="18"/>
                <w:szCs w:val="18"/>
              </w:rPr>
              <w:t>专</w:t>
            </w:r>
            <w:r>
              <w:rPr>
                <w:rFonts w:ascii="宋体" w:hAnsi="宋体" w:cs="Arial"/>
                <w:bCs/>
                <w:sz w:val="18"/>
                <w:szCs w:val="18"/>
              </w:rPr>
              <w:t>线</w:t>
            </w:r>
            <w:r>
              <w:rPr>
                <w:rFonts w:hint="eastAsia" w:ascii="宋体" w:hAnsi="宋体" w:cs="Arial"/>
                <w:bCs/>
                <w:sz w:val="18"/>
                <w:szCs w:val="18"/>
              </w:rPr>
              <w:t>1条</w:t>
            </w:r>
            <w:r>
              <w:rPr>
                <w:rFonts w:ascii="宋体" w:hAnsi="宋体" w:cs="Arial"/>
                <w:bCs/>
                <w:sz w:val="18"/>
                <w:szCs w:val="18"/>
              </w:rPr>
              <w:t>，带宽10</w:t>
            </w:r>
            <w:r>
              <w:rPr>
                <w:rFonts w:hint="eastAsia" w:ascii="宋体" w:hAnsi="宋体" w:cs="Arial"/>
                <w:bCs/>
                <w:sz w:val="18"/>
                <w:szCs w:val="18"/>
              </w:rPr>
              <w:t>00</w:t>
            </w:r>
            <w:r>
              <w:rPr>
                <w:rFonts w:ascii="宋体" w:hAnsi="宋体" w:cs="Arial"/>
                <w:bCs/>
                <w:sz w:val="18"/>
                <w:szCs w:val="18"/>
              </w:rPr>
              <w:t>M</w:t>
            </w:r>
            <w:r>
              <w:rPr>
                <w:rFonts w:hint="eastAsia" w:ascii="宋体" w:hAnsi="宋体" w:cs="Arial"/>
                <w:bCs/>
                <w:sz w:val="18"/>
                <w:szCs w:val="18"/>
              </w:rPr>
              <w:t>，</w:t>
            </w:r>
            <w:r>
              <w:rPr>
                <w:rFonts w:hint="eastAsia" w:ascii="仿宋" w:hAnsi="仿宋" w:eastAsia="仿宋"/>
                <w:sz w:val="18"/>
                <w:szCs w:val="18"/>
              </w:rPr>
              <w:t>上行和下行网络带宽一致</w:t>
            </w:r>
            <w:r>
              <w:rPr>
                <w:rFonts w:ascii="宋体" w:hAnsi="宋体" w:cs="Arial"/>
                <w:bCs/>
                <w:sz w:val="18"/>
                <w:szCs w:val="18"/>
              </w:rPr>
              <w:t>。</w:t>
            </w:r>
          </w:p>
          <w:p>
            <w:pPr>
              <w:spacing w:line="360" w:lineRule="auto"/>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、提供</w:t>
            </w:r>
            <w:r>
              <w:rPr>
                <w:rFonts w:ascii="宋体" w:hAnsi="宋体" w:cs="宋体"/>
                <w:bCs/>
                <w:sz w:val="18"/>
                <w:szCs w:val="18"/>
              </w:rPr>
              <w:t>不少于</w:t>
            </w:r>
            <w:r>
              <w:rPr>
                <w:rFonts w:hint="eastAsia" w:ascii="宋体" w:hAnsi="宋体" w:cs="宋体"/>
                <w:bCs/>
                <w:sz w:val="18"/>
                <w:szCs w:val="18"/>
              </w:rPr>
              <w:t>13个固态</w:t>
            </w:r>
            <w:r>
              <w:rPr>
                <w:rFonts w:ascii="宋体" w:hAnsi="宋体" w:cs="宋体"/>
                <w:bCs/>
                <w:sz w:val="18"/>
                <w:szCs w:val="18"/>
              </w:rPr>
              <w:t>公网</w:t>
            </w:r>
            <w:r>
              <w:rPr>
                <w:rFonts w:hint="eastAsia" w:ascii="宋体" w:hAnsi="宋体" w:cs="宋体"/>
                <w:bCs/>
                <w:sz w:val="18"/>
                <w:szCs w:val="18"/>
              </w:rPr>
              <w:t>IP地</w:t>
            </w:r>
            <w:r>
              <w:rPr>
                <w:rFonts w:ascii="宋体" w:hAnsi="宋体" w:cs="宋体"/>
                <w:bCs/>
                <w:sz w:val="18"/>
                <w:szCs w:val="18"/>
              </w:rPr>
              <w:t>址。</w:t>
            </w:r>
          </w:p>
          <w:p>
            <w:pPr>
              <w:spacing w:line="360" w:lineRule="auto"/>
              <w:ind w:firstLine="180" w:firstLineChars="100"/>
              <w:rPr>
                <w:rFonts w:ascii="宋体" w:hAnsi="宋体" w:cs="宋体"/>
                <w:bCs/>
                <w:sz w:val="18"/>
                <w:szCs w:val="18"/>
              </w:rPr>
            </w:pPr>
            <w:r>
              <w:rPr>
                <w:rFonts w:ascii="宋体" w:hAnsi="宋体" w:cs="宋体"/>
                <w:bCs/>
                <w:sz w:val="18"/>
                <w:szCs w:val="18"/>
              </w:rPr>
              <w:t>3</w:t>
            </w:r>
            <w:r>
              <w:rPr>
                <w:rFonts w:hint="eastAsia" w:ascii="宋体" w:hAnsi="宋体" w:cs="宋体"/>
                <w:bCs/>
                <w:sz w:val="18"/>
                <w:szCs w:val="18"/>
              </w:rPr>
              <w:t>、开</w:t>
            </w:r>
            <w:r>
              <w:rPr>
                <w:rFonts w:ascii="宋体" w:hAnsi="宋体" w:cs="宋体"/>
                <w:bCs/>
                <w:sz w:val="18"/>
                <w:szCs w:val="18"/>
              </w:rPr>
              <w:t>通</w:t>
            </w:r>
            <w:r>
              <w:rPr>
                <w:rFonts w:hint="eastAsia" w:ascii="宋体" w:hAnsi="宋体" w:cs="宋体"/>
                <w:bCs/>
                <w:sz w:val="18"/>
                <w:szCs w:val="18"/>
              </w:rPr>
              <w:t>8080、443端口。</w:t>
            </w:r>
          </w:p>
          <w:p>
            <w:pPr>
              <w:spacing w:line="360" w:lineRule="auto"/>
              <w:ind w:firstLine="180" w:firstLineChars="100"/>
              <w:rPr>
                <w:rFonts w:ascii="宋体" w:hAnsi="宋体" w:cs="Arial"/>
                <w:bCs/>
                <w:sz w:val="18"/>
                <w:szCs w:val="18"/>
              </w:rPr>
            </w:pPr>
            <w:r>
              <w:rPr>
                <w:rFonts w:ascii="宋体" w:hAnsi="宋体" w:cs="宋体"/>
                <w:bCs/>
                <w:sz w:val="18"/>
                <w:szCs w:val="18"/>
              </w:rPr>
              <w:t>4</w:t>
            </w:r>
            <w:r>
              <w:rPr>
                <w:rFonts w:hint="eastAsia" w:ascii="宋体" w:hAnsi="宋体" w:cs="宋体"/>
                <w:bCs/>
                <w:sz w:val="18"/>
                <w:szCs w:val="18"/>
              </w:rPr>
              <w:t>、物理传输双路由保护</w:t>
            </w:r>
            <w:r>
              <w:rPr>
                <w:rFonts w:ascii="宋体" w:hAnsi="宋体" w:cs="宋体"/>
                <w:bCs/>
                <w:sz w:val="18"/>
                <w:szCs w:val="18"/>
              </w:rPr>
              <w:t>。</w:t>
            </w:r>
          </w:p>
        </w:tc>
        <w:tc>
          <w:tcPr>
            <w:tcW w:w="851" w:type="dxa"/>
            <w:tcBorders>
              <w:top w:val="single" w:color="auto" w:sz="4" w:space="0"/>
              <w:left w:val="single" w:color="auto" w:sz="4" w:space="0"/>
              <w:right w:val="single" w:color="auto" w:sz="4" w:space="0"/>
            </w:tcBorders>
            <w:vAlign w:val="center"/>
          </w:tcPr>
          <w:p>
            <w:pPr>
              <w:spacing w:line="360" w:lineRule="auto"/>
              <w:rPr>
                <w:rFonts w:ascii="宋体" w:hAnsi="宋体"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09"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sz w:val="18"/>
                <w:szCs w:val="18"/>
              </w:rPr>
            </w:pPr>
            <w:r>
              <w:rPr>
                <w:rFonts w:hint="eastAsia" w:ascii="宋体" w:hAnsi="宋体" w:cs="宋体"/>
                <w:b/>
                <w:bCs/>
                <w:sz w:val="18"/>
                <w:szCs w:val="18"/>
              </w:rPr>
              <w:t>带宽峰值</w:t>
            </w:r>
          </w:p>
        </w:tc>
        <w:tc>
          <w:tcPr>
            <w:tcW w:w="6237" w:type="dxa"/>
            <w:tcBorders>
              <w:top w:val="single" w:color="auto" w:sz="4" w:space="0"/>
              <w:left w:val="single" w:color="auto" w:sz="4" w:space="0"/>
              <w:right w:val="single" w:color="auto" w:sz="4" w:space="0"/>
            </w:tcBorders>
            <w:vAlign w:val="center"/>
          </w:tcPr>
          <w:p>
            <w:pPr>
              <w:spacing w:line="360" w:lineRule="auto"/>
              <w:rPr>
                <w:rFonts w:ascii="宋体" w:hAnsi="宋体" w:cs="Arial"/>
                <w:bCs/>
                <w:sz w:val="18"/>
                <w:szCs w:val="18"/>
              </w:rPr>
            </w:pPr>
            <w:r>
              <w:rPr>
                <w:rFonts w:hint="eastAsia" w:ascii="宋体" w:hAnsi="宋体" w:cs="Arial"/>
                <w:bCs/>
                <w:sz w:val="18"/>
                <w:szCs w:val="18"/>
              </w:rPr>
              <w:t>★</w:t>
            </w:r>
            <w:r>
              <w:rPr>
                <w:rFonts w:ascii="宋体" w:hAnsi="宋体" w:cs="Arial"/>
                <w:bCs/>
                <w:sz w:val="18"/>
                <w:szCs w:val="18"/>
              </w:rPr>
              <w:t>投标人须在投标文档中</w:t>
            </w:r>
            <w:r>
              <w:rPr>
                <w:rFonts w:hint="eastAsia" w:ascii="宋体" w:hAnsi="宋体" w:cs="Arial"/>
                <w:bCs/>
                <w:sz w:val="18"/>
                <w:szCs w:val="18"/>
              </w:rPr>
              <w:t>明</w:t>
            </w:r>
            <w:r>
              <w:rPr>
                <w:rFonts w:ascii="宋体" w:hAnsi="宋体" w:cs="Arial"/>
                <w:bCs/>
                <w:sz w:val="18"/>
                <w:szCs w:val="18"/>
              </w:rPr>
              <w:t>确承诺</w:t>
            </w:r>
            <w:r>
              <w:rPr>
                <w:rFonts w:hint="eastAsia" w:ascii="宋体" w:hAnsi="宋体" w:cs="Arial"/>
                <w:bCs/>
                <w:sz w:val="18"/>
                <w:szCs w:val="18"/>
              </w:rPr>
              <w:t>本</w:t>
            </w:r>
            <w:r>
              <w:rPr>
                <w:rFonts w:ascii="宋体" w:hAnsi="宋体" w:cs="Arial"/>
                <w:bCs/>
                <w:sz w:val="18"/>
                <w:szCs w:val="18"/>
              </w:rPr>
              <w:t>专线</w:t>
            </w:r>
            <w:r>
              <w:rPr>
                <w:rFonts w:hint="eastAsia" w:ascii="宋体" w:hAnsi="宋体" w:cs="Arial"/>
                <w:bCs/>
                <w:sz w:val="18"/>
                <w:szCs w:val="18"/>
              </w:rPr>
              <w:t>实</w:t>
            </w:r>
            <w:r>
              <w:rPr>
                <w:rFonts w:ascii="宋体" w:hAnsi="宋体" w:cs="Arial"/>
                <w:bCs/>
                <w:sz w:val="18"/>
                <w:szCs w:val="18"/>
              </w:rPr>
              <w:t>际可用</w:t>
            </w:r>
            <w:r>
              <w:rPr>
                <w:rFonts w:hint="eastAsia" w:ascii="宋体" w:hAnsi="宋体" w:cs="Arial"/>
                <w:bCs/>
                <w:sz w:val="18"/>
                <w:szCs w:val="18"/>
              </w:rPr>
              <w:t>的</w:t>
            </w:r>
            <w:r>
              <w:rPr>
                <w:rFonts w:ascii="宋体" w:hAnsi="宋体" w:cs="Arial"/>
                <w:bCs/>
                <w:sz w:val="18"/>
                <w:szCs w:val="18"/>
              </w:rPr>
              <w:t>最高</w:t>
            </w:r>
            <w:r>
              <w:rPr>
                <w:rFonts w:hint="eastAsia" w:ascii="宋体" w:hAnsi="宋体" w:cs="Arial"/>
                <w:bCs/>
                <w:sz w:val="18"/>
                <w:szCs w:val="18"/>
              </w:rPr>
              <w:t>和</w:t>
            </w:r>
            <w:r>
              <w:rPr>
                <w:rFonts w:ascii="宋体" w:hAnsi="宋体" w:cs="Arial"/>
                <w:bCs/>
                <w:sz w:val="18"/>
                <w:szCs w:val="18"/>
              </w:rPr>
              <w:t>最低带宽</w:t>
            </w:r>
            <w:r>
              <w:rPr>
                <w:rFonts w:hint="eastAsia" w:ascii="宋体" w:hAnsi="宋体" w:cs="Arial"/>
                <w:bCs/>
                <w:sz w:val="18"/>
                <w:szCs w:val="18"/>
              </w:rPr>
              <w:t>峰值</w:t>
            </w:r>
            <w:r>
              <w:rPr>
                <w:rFonts w:ascii="宋体" w:hAnsi="宋体" w:cs="Arial"/>
                <w:bCs/>
                <w:sz w:val="18"/>
                <w:szCs w:val="18"/>
              </w:rPr>
              <w:t>。</w:t>
            </w:r>
          </w:p>
        </w:tc>
        <w:tc>
          <w:tcPr>
            <w:tcW w:w="851" w:type="dxa"/>
            <w:tcBorders>
              <w:top w:val="single" w:color="auto" w:sz="4" w:space="0"/>
              <w:left w:val="single" w:color="auto" w:sz="4" w:space="0"/>
              <w:right w:val="single" w:color="auto" w:sz="4" w:space="0"/>
            </w:tcBorders>
            <w:vAlign w:val="center"/>
          </w:tcPr>
          <w:p>
            <w:pPr>
              <w:spacing w:line="360" w:lineRule="auto"/>
              <w:rPr>
                <w:rFonts w:ascii="宋体" w:hAnsi="宋体"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tcBorders>
              <w:top w:val="single" w:color="auto" w:sz="4" w:space="0"/>
              <w:left w:val="single" w:color="auto" w:sz="4" w:space="0"/>
              <w:right w:val="single" w:color="auto" w:sz="4" w:space="0"/>
            </w:tcBorders>
            <w:vAlign w:val="center"/>
          </w:tcPr>
          <w:p>
            <w:pPr>
              <w:spacing w:line="360" w:lineRule="auto"/>
              <w:jc w:val="center"/>
              <w:rPr>
                <w:rFonts w:ascii="宋体" w:hAnsi="宋体" w:cs="Arial"/>
                <w:b/>
                <w:bCs/>
                <w:sz w:val="18"/>
                <w:szCs w:val="18"/>
              </w:rPr>
            </w:pPr>
            <w:r>
              <w:rPr>
                <w:rFonts w:hint="eastAsia" w:ascii="宋体" w:hAnsi="宋体" w:cs="Arial"/>
                <w:b/>
                <w:bCs/>
                <w:sz w:val="18"/>
                <w:szCs w:val="18"/>
              </w:rPr>
              <w:t>端到</w:t>
            </w:r>
            <w:r>
              <w:rPr>
                <w:rFonts w:ascii="宋体" w:hAnsi="宋体" w:cs="Arial"/>
                <w:b/>
                <w:bCs/>
                <w:sz w:val="18"/>
                <w:szCs w:val="18"/>
              </w:rPr>
              <w:t>端可用率</w:t>
            </w:r>
          </w:p>
        </w:tc>
        <w:tc>
          <w:tcPr>
            <w:tcW w:w="6237" w:type="dxa"/>
            <w:tcBorders>
              <w:top w:val="single" w:color="auto" w:sz="4" w:space="0"/>
              <w:left w:val="single" w:color="auto" w:sz="4" w:space="0"/>
              <w:right w:val="single" w:color="auto" w:sz="4" w:space="0"/>
            </w:tcBorders>
            <w:vAlign w:val="center"/>
          </w:tcPr>
          <w:p>
            <w:pPr>
              <w:pStyle w:val="25"/>
              <w:spacing w:line="360" w:lineRule="auto"/>
              <w:ind w:firstLine="0" w:firstLineChars="0"/>
              <w:rPr>
                <w:rFonts w:ascii="宋体" w:hAnsi="宋体" w:cs="Arial"/>
                <w:bCs/>
                <w:sz w:val="18"/>
                <w:szCs w:val="18"/>
              </w:rPr>
            </w:pPr>
            <w:r>
              <w:rPr>
                <w:rFonts w:hint="eastAsia" w:ascii="宋体" w:hAnsi="宋体" w:cs="Arial"/>
                <w:bCs/>
                <w:sz w:val="18"/>
                <w:szCs w:val="18"/>
              </w:rPr>
              <w:t>★专</w:t>
            </w:r>
            <w:r>
              <w:rPr>
                <w:rFonts w:ascii="宋体" w:hAnsi="宋体" w:cs="Arial"/>
                <w:bCs/>
                <w:sz w:val="18"/>
                <w:szCs w:val="18"/>
              </w:rPr>
              <w:t>线</w:t>
            </w:r>
            <w:r>
              <w:rPr>
                <w:rFonts w:hint="eastAsia" w:ascii="宋体" w:hAnsi="宋体" w:cs="Arial"/>
                <w:bCs/>
                <w:sz w:val="18"/>
                <w:szCs w:val="18"/>
              </w:rPr>
              <w:t>应</w:t>
            </w:r>
            <w:r>
              <w:rPr>
                <w:rFonts w:ascii="宋体" w:hAnsi="宋体" w:cs="Arial"/>
                <w:bCs/>
                <w:sz w:val="18"/>
                <w:szCs w:val="18"/>
              </w:rPr>
              <w:t>保持</w:t>
            </w:r>
            <w:r>
              <w:rPr>
                <w:rFonts w:hint="eastAsia" w:ascii="宋体" w:hAnsi="宋体" w:cs="Arial"/>
                <w:bCs/>
                <w:sz w:val="18"/>
                <w:szCs w:val="18"/>
              </w:rPr>
              <w:t>全</w:t>
            </w:r>
            <w:r>
              <w:rPr>
                <w:rFonts w:ascii="宋体" w:hAnsi="宋体" w:cs="Arial"/>
                <w:bCs/>
                <w:sz w:val="18"/>
                <w:szCs w:val="18"/>
              </w:rPr>
              <w:t>年</w:t>
            </w:r>
            <w:r>
              <w:rPr>
                <w:rFonts w:hint="eastAsia" w:ascii="宋体" w:hAnsi="宋体" w:cs="Arial"/>
                <w:bCs/>
                <w:sz w:val="18"/>
                <w:szCs w:val="18"/>
              </w:rPr>
              <w:t>24小</w:t>
            </w:r>
            <w:r>
              <w:rPr>
                <w:rFonts w:ascii="宋体" w:hAnsi="宋体" w:cs="Arial"/>
                <w:bCs/>
                <w:sz w:val="18"/>
                <w:szCs w:val="18"/>
              </w:rPr>
              <w:t>时</w:t>
            </w:r>
            <w:r>
              <w:rPr>
                <w:rFonts w:hint="eastAsia" w:ascii="宋体" w:hAnsi="宋体" w:cs="Arial"/>
                <w:bCs/>
                <w:sz w:val="18"/>
                <w:szCs w:val="18"/>
              </w:rPr>
              <w:t>畅通</w:t>
            </w:r>
            <w:r>
              <w:rPr>
                <w:rFonts w:ascii="宋体" w:hAnsi="宋体" w:cs="Arial"/>
                <w:bCs/>
                <w:sz w:val="18"/>
                <w:szCs w:val="18"/>
              </w:rPr>
              <w:t>，</w:t>
            </w:r>
            <w:r>
              <w:rPr>
                <w:rFonts w:hint="eastAsia" w:ascii="宋体" w:hAnsi="宋体" w:cs="Arial"/>
                <w:bCs/>
                <w:sz w:val="18"/>
                <w:szCs w:val="18"/>
              </w:rPr>
              <w:t>可</w:t>
            </w:r>
            <w:r>
              <w:rPr>
                <w:rFonts w:ascii="宋体" w:hAnsi="宋体" w:cs="Arial"/>
                <w:bCs/>
                <w:sz w:val="18"/>
                <w:szCs w:val="18"/>
              </w:rPr>
              <w:t>用率</w:t>
            </w:r>
            <w:r>
              <w:rPr>
                <w:rFonts w:hint="eastAsia" w:ascii="宋体" w:hAnsi="宋体" w:cs="Arial"/>
                <w:bCs/>
                <w:sz w:val="18"/>
                <w:szCs w:val="18"/>
              </w:rPr>
              <w:t>不</w:t>
            </w:r>
            <w:r>
              <w:rPr>
                <w:rFonts w:ascii="宋体" w:hAnsi="宋体" w:cs="Arial"/>
                <w:bCs/>
                <w:sz w:val="18"/>
                <w:szCs w:val="18"/>
              </w:rPr>
              <w:t>低于</w:t>
            </w:r>
            <w:r>
              <w:rPr>
                <w:rFonts w:hint="eastAsia" w:ascii="宋体" w:hAnsi="宋体" w:cs="Arial"/>
                <w:bCs/>
                <w:sz w:val="18"/>
                <w:szCs w:val="18"/>
              </w:rPr>
              <w:t>99.9%。</w:t>
            </w:r>
          </w:p>
        </w:tc>
        <w:tc>
          <w:tcPr>
            <w:tcW w:w="851" w:type="dxa"/>
            <w:tcBorders>
              <w:top w:val="single" w:color="auto" w:sz="4" w:space="0"/>
              <w:left w:val="single" w:color="auto" w:sz="4" w:space="0"/>
              <w:right w:val="single" w:color="auto" w:sz="4" w:space="0"/>
            </w:tcBorders>
            <w:vAlign w:val="center"/>
          </w:tcPr>
          <w:p>
            <w:pPr>
              <w:spacing w:line="360" w:lineRule="auto"/>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b/>
                <w:bCs/>
                <w:sz w:val="18"/>
                <w:szCs w:val="18"/>
              </w:rPr>
            </w:pPr>
            <w:r>
              <w:rPr>
                <w:rFonts w:hint="eastAsia" w:ascii="宋体" w:hAnsi="宋体" w:cs="Arial"/>
                <w:b/>
                <w:bCs/>
                <w:sz w:val="18"/>
                <w:szCs w:val="18"/>
              </w:rPr>
              <w:t>调</w:t>
            </w:r>
            <w:r>
              <w:rPr>
                <w:rFonts w:ascii="宋体" w:hAnsi="宋体" w:cs="Arial"/>
                <w:b/>
                <w:bCs/>
                <w:sz w:val="18"/>
                <w:szCs w:val="18"/>
              </w:rPr>
              <w:t>试</w:t>
            </w:r>
            <w:r>
              <w:rPr>
                <w:rFonts w:hint="eastAsia" w:ascii="宋体" w:hAnsi="宋体" w:cs="Arial"/>
                <w:b/>
                <w:bCs/>
                <w:sz w:val="18"/>
                <w:szCs w:val="18"/>
              </w:rPr>
              <w:t>运</w:t>
            </w:r>
            <w:r>
              <w:rPr>
                <w:rFonts w:ascii="宋体" w:hAnsi="宋体" w:cs="Arial"/>
                <w:b/>
                <w:bCs/>
                <w:sz w:val="18"/>
                <w:szCs w:val="18"/>
              </w:rPr>
              <w:t>行</w:t>
            </w:r>
          </w:p>
        </w:tc>
        <w:tc>
          <w:tcPr>
            <w:tcW w:w="6237" w:type="dxa"/>
            <w:tcBorders>
              <w:top w:val="single" w:color="auto" w:sz="4" w:space="0"/>
              <w:left w:val="single" w:color="auto" w:sz="4" w:space="0"/>
              <w:right w:val="single" w:color="auto" w:sz="4" w:space="0"/>
            </w:tcBorders>
            <w:vAlign w:val="center"/>
          </w:tcPr>
          <w:p>
            <w:pPr>
              <w:spacing w:line="360" w:lineRule="auto"/>
              <w:rPr>
                <w:rFonts w:ascii="宋体" w:hAnsi="宋体" w:cs="Arial"/>
                <w:bCs/>
                <w:sz w:val="18"/>
                <w:szCs w:val="18"/>
              </w:rPr>
            </w:pPr>
            <w:r>
              <w:rPr>
                <w:rFonts w:hint="eastAsia" w:ascii="宋体" w:hAnsi="宋体" w:cs="Arial"/>
                <w:bCs/>
                <w:sz w:val="18"/>
                <w:szCs w:val="18"/>
              </w:rPr>
              <w:t>提供</w:t>
            </w:r>
            <w:r>
              <w:rPr>
                <w:rFonts w:ascii="宋体" w:hAnsi="宋体" w:cs="Arial"/>
                <w:bCs/>
                <w:sz w:val="18"/>
                <w:szCs w:val="18"/>
              </w:rPr>
              <w:t>不</w:t>
            </w:r>
            <w:r>
              <w:rPr>
                <w:rFonts w:hint="eastAsia" w:ascii="宋体" w:hAnsi="宋体" w:cs="Arial"/>
                <w:bCs/>
                <w:sz w:val="18"/>
                <w:szCs w:val="18"/>
              </w:rPr>
              <w:t>少</w:t>
            </w:r>
            <w:r>
              <w:rPr>
                <w:rFonts w:ascii="宋体" w:hAnsi="宋体" w:cs="Arial"/>
                <w:bCs/>
                <w:sz w:val="18"/>
                <w:szCs w:val="18"/>
              </w:rPr>
              <w:t>于7</w:t>
            </w:r>
            <w:r>
              <w:rPr>
                <w:rFonts w:hint="eastAsia" w:ascii="宋体" w:hAnsi="宋体" w:cs="Arial"/>
                <w:bCs/>
                <w:sz w:val="18"/>
                <w:szCs w:val="18"/>
              </w:rPr>
              <w:t>天的</w:t>
            </w:r>
            <w:r>
              <w:rPr>
                <w:rFonts w:ascii="宋体" w:hAnsi="宋体" w:cs="Arial"/>
                <w:bCs/>
                <w:sz w:val="18"/>
                <w:szCs w:val="18"/>
              </w:rPr>
              <w:t>试运行</w:t>
            </w:r>
            <w:r>
              <w:rPr>
                <w:rFonts w:hint="eastAsia" w:ascii="宋体" w:hAnsi="宋体" w:cs="Arial"/>
                <w:bCs/>
                <w:sz w:val="18"/>
                <w:szCs w:val="18"/>
              </w:rPr>
              <w:t>周</w:t>
            </w:r>
            <w:r>
              <w:rPr>
                <w:rFonts w:ascii="宋体" w:hAnsi="宋体" w:cs="Arial"/>
                <w:bCs/>
                <w:sz w:val="18"/>
                <w:szCs w:val="18"/>
              </w:rPr>
              <w:t>期，供投标人和招标人</w:t>
            </w:r>
            <w:r>
              <w:rPr>
                <w:rFonts w:hint="eastAsia" w:ascii="宋体" w:hAnsi="宋体" w:cs="Arial"/>
                <w:bCs/>
                <w:sz w:val="18"/>
                <w:szCs w:val="18"/>
              </w:rPr>
              <w:t>对</w:t>
            </w:r>
            <w:r>
              <w:rPr>
                <w:rFonts w:ascii="宋体" w:hAnsi="宋体" w:cs="Arial"/>
                <w:bCs/>
                <w:sz w:val="18"/>
                <w:szCs w:val="18"/>
              </w:rPr>
              <w:t>网络状态和设备进行调试。</w:t>
            </w:r>
          </w:p>
        </w:tc>
        <w:tc>
          <w:tcPr>
            <w:tcW w:w="851" w:type="dxa"/>
            <w:tcBorders>
              <w:top w:val="single" w:color="auto" w:sz="4" w:space="0"/>
              <w:left w:val="single" w:color="auto" w:sz="4" w:space="0"/>
              <w:right w:val="single" w:color="auto" w:sz="4" w:space="0"/>
            </w:tcBorders>
            <w:vAlign w:val="center"/>
          </w:tcPr>
          <w:p>
            <w:pPr>
              <w:spacing w:line="360" w:lineRule="auto"/>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09" w:type="dxa"/>
            <w:tcBorders>
              <w:left w:val="single" w:color="auto" w:sz="4" w:space="0"/>
              <w:right w:val="single" w:color="auto" w:sz="4" w:space="0"/>
            </w:tcBorders>
            <w:vAlign w:val="center"/>
          </w:tcPr>
          <w:p>
            <w:pPr>
              <w:spacing w:line="360" w:lineRule="auto"/>
              <w:jc w:val="center"/>
              <w:rPr>
                <w:rFonts w:ascii="宋体" w:hAnsi="宋体" w:cs="Arial"/>
                <w:b/>
                <w:bCs/>
                <w:sz w:val="18"/>
                <w:szCs w:val="18"/>
              </w:rPr>
            </w:pPr>
            <w:r>
              <w:rPr>
                <w:rFonts w:hint="eastAsia" w:ascii="宋体" w:hAnsi="宋体" w:cs="Arial"/>
                <w:b/>
                <w:bCs/>
                <w:sz w:val="18"/>
                <w:szCs w:val="18"/>
              </w:rPr>
              <w:t>交</w:t>
            </w:r>
            <w:r>
              <w:rPr>
                <w:rFonts w:ascii="宋体" w:hAnsi="宋体" w:cs="Arial"/>
                <w:b/>
                <w:bCs/>
                <w:sz w:val="18"/>
                <w:szCs w:val="18"/>
              </w:rPr>
              <w:t>付周期</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bCs/>
                <w:sz w:val="18"/>
                <w:szCs w:val="18"/>
              </w:rPr>
            </w:pPr>
            <w:r>
              <w:rPr>
                <w:rFonts w:hint="eastAsia" w:ascii="宋体" w:hAnsi="宋体" w:cs="Arial"/>
                <w:bCs/>
                <w:sz w:val="18"/>
                <w:szCs w:val="18"/>
              </w:rPr>
              <w:t>★投</w:t>
            </w:r>
            <w:r>
              <w:rPr>
                <w:rFonts w:ascii="宋体" w:hAnsi="宋体" w:cs="Arial"/>
                <w:bCs/>
                <w:sz w:val="18"/>
                <w:szCs w:val="18"/>
              </w:rPr>
              <w:t>标人必须在</w:t>
            </w:r>
            <w:r>
              <w:rPr>
                <w:rFonts w:hint="eastAsia" w:ascii="宋体" w:hAnsi="宋体" w:cs="Arial"/>
                <w:bCs/>
                <w:sz w:val="18"/>
                <w:szCs w:val="18"/>
              </w:rPr>
              <w:t>确</w:t>
            </w:r>
            <w:r>
              <w:rPr>
                <w:rFonts w:ascii="宋体" w:hAnsi="宋体" w:cs="Arial"/>
                <w:bCs/>
                <w:sz w:val="18"/>
                <w:szCs w:val="18"/>
              </w:rPr>
              <w:t>认中标后</w:t>
            </w:r>
            <w:r>
              <w:rPr>
                <w:rFonts w:hint="eastAsia" w:ascii="宋体" w:hAnsi="宋体" w:cs="Arial"/>
                <w:bCs/>
                <w:sz w:val="18"/>
                <w:szCs w:val="18"/>
              </w:rPr>
              <w:t>的10个</w:t>
            </w:r>
            <w:r>
              <w:rPr>
                <w:rFonts w:ascii="宋体" w:hAnsi="宋体" w:cs="Arial"/>
                <w:bCs/>
                <w:sz w:val="18"/>
                <w:szCs w:val="18"/>
              </w:rPr>
              <w:t>工作日内</w:t>
            </w:r>
            <w:r>
              <w:rPr>
                <w:rFonts w:hint="eastAsia" w:ascii="宋体" w:hAnsi="宋体" w:cs="Arial"/>
                <w:bCs/>
                <w:sz w:val="18"/>
                <w:szCs w:val="18"/>
              </w:rPr>
              <w:t>完</w:t>
            </w:r>
            <w:r>
              <w:rPr>
                <w:rFonts w:ascii="宋体" w:hAnsi="宋体" w:cs="Arial"/>
                <w:bCs/>
                <w:sz w:val="18"/>
                <w:szCs w:val="18"/>
              </w:rPr>
              <w:t>成信号</w:t>
            </w:r>
            <w:r>
              <w:rPr>
                <w:rFonts w:hint="eastAsia" w:ascii="宋体" w:hAnsi="宋体" w:cs="Arial"/>
                <w:bCs/>
                <w:sz w:val="18"/>
                <w:szCs w:val="18"/>
              </w:rPr>
              <w:t>调</w:t>
            </w:r>
            <w:r>
              <w:rPr>
                <w:rFonts w:ascii="宋体" w:hAnsi="宋体" w:cs="Arial"/>
                <w:bCs/>
                <w:sz w:val="18"/>
                <w:szCs w:val="18"/>
              </w:rPr>
              <w:t>试</w:t>
            </w:r>
            <w:r>
              <w:rPr>
                <w:rFonts w:hint="eastAsia" w:ascii="宋体" w:hAnsi="宋体" w:cs="Arial"/>
                <w:bCs/>
                <w:sz w:val="18"/>
                <w:szCs w:val="18"/>
              </w:rPr>
              <w:t>和开通工</w:t>
            </w:r>
            <w:r>
              <w:rPr>
                <w:rFonts w:ascii="宋体" w:hAnsi="宋体" w:cs="Arial"/>
                <w:bCs/>
                <w:sz w:val="18"/>
                <w:szCs w:val="18"/>
              </w:rPr>
              <w:t>作。</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tcBorders>
              <w:left w:val="single" w:color="auto" w:sz="4" w:space="0"/>
              <w:right w:val="single" w:color="auto" w:sz="4" w:space="0"/>
            </w:tcBorders>
            <w:vAlign w:val="center"/>
          </w:tcPr>
          <w:p>
            <w:pPr>
              <w:spacing w:line="360" w:lineRule="auto"/>
              <w:jc w:val="center"/>
              <w:rPr>
                <w:rFonts w:ascii="宋体" w:hAnsi="宋体" w:cs="Arial"/>
                <w:b/>
                <w:bCs/>
                <w:sz w:val="18"/>
                <w:szCs w:val="18"/>
              </w:rPr>
            </w:pPr>
            <w:r>
              <w:rPr>
                <w:rFonts w:hint="eastAsia" w:ascii="宋体" w:hAnsi="宋体" w:cs="Arial"/>
                <w:b/>
                <w:bCs/>
                <w:sz w:val="18"/>
                <w:szCs w:val="18"/>
              </w:rPr>
              <w:t>服务保障</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bCs/>
                <w:sz w:val="18"/>
                <w:szCs w:val="18"/>
              </w:rPr>
            </w:pPr>
            <w:r>
              <w:rPr>
                <w:rFonts w:hint="eastAsia" w:ascii="宋体" w:hAnsi="宋体" w:cs="Arial"/>
                <w:bCs/>
                <w:sz w:val="18"/>
                <w:szCs w:val="18"/>
              </w:rPr>
              <w:t>当链</w:t>
            </w:r>
            <w:r>
              <w:rPr>
                <w:rFonts w:ascii="宋体" w:hAnsi="宋体" w:cs="Arial"/>
                <w:bCs/>
                <w:sz w:val="18"/>
                <w:szCs w:val="18"/>
              </w:rPr>
              <w:t>路故障时，</w:t>
            </w:r>
            <w:r>
              <w:rPr>
                <w:rFonts w:hint="eastAsia" w:ascii="宋体" w:hAnsi="宋体" w:cs="Arial"/>
                <w:bCs/>
                <w:sz w:val="18"/>
                <w:szCs w:val="18"/>
              </w:rPr>
              <w:t>投标</w:t>
            </w:r>
            <w:r>
              <w:rPr>
                <w:rFonts w:ascii="宋体" w:hAnsi="宋体" w:cs="Arial"/>
                <w:bCs/>
                <w:sz w:val="18"/>
                <w:szCs w:val="18"/>
              </w:rPr>
              <w:t>人应能够</w:t>
            </w:r>
            <w:r>
              <w:rPr>
                <w:rFonts w:hint="eastAsia" w:ascii="宋体" w:hAnsi="宋体" w:cs="Arial"/>
                <w:bCs/>
                <w:sz w:val="18"/>
                <w:szCs w:val="18"/>
              </w:rPr>
              <w:t>在</w:t>
            </w:r>
            <w:r>
              <w:rPr>
                <w:rFonts w:ascii="宋体" w:hAnsi="宋体" w:cs="Arial"/>
                <w:bCs/>
                <w:sz w:val="18"/>
                <w:szCs w:val="18"/>
              </w:rPr>
              <w:t>1</w:t>
            </w:r>
            <w:r>
              <w:rPr>
                <w:rFonts w:hint="eastAsia" w:ascii="宋体" w:hAnsi="宋体" w:cs="Arial"/>
                <w:bCs/>
                <w:sz w:val="18"/>
                <w:szCs w:val="18"/>
              </w:rPr>
              <w:t>小</w:t>
            </w:r>
            <w:r>
              <w:rPr>
                <w:rFonts w:ascii="宋体" w:hAnsi="宋体" w:cs="Arial"/>
                <w:bCs/>
                <w:sz w:val="18"/>
                <w:szCs w:val="18"/>
              </w:rPr>
              <w:t>时内做出响应，2小时内到达现场</w:t>
            </w:r>
            <w:r>
              <w:rPr>
                <w:rFonts w:hint="eastAsia" w:ascii="宋体" w:hAnsi="宋体" w:cs="Arial"/>
                <w:bCs/>
                <w:sz w:val="18"/>
                <w:szCs w:val="18"/>
              </w:rPr>
              <w:t>并</w:t>
            </w:r>
            <w:r>
              <w:rPr>
                <w:rFonts w:ascii="宋体" w:hAnsi="宋体" w:cs="Arial"/>
                <w:bCs/>
                <w:sz w:val="18"/>
                <w:szCs w:val="18"/>
              </w:rPr>
              <w:t>排除故障。</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Arial"/>
                <w:b/>
                <w:bCs/>
                <w:sz w:val="18"/>
                <w:szCs w:val="18"/>
              </w:rPr>
            </w:pPr>
            <w:r>
              <w:rPr>
                <w:rFonts w:hint="eastAsia" w:ascii="宋体" w:hAnsi="宋体" w:cs="Arial"/>
                <w:b/>
                <w:bCs/>
                <w:sz w:val="18"/>
                <w:szCs w:val="18"/>
              </w:rPr>
              <w:t>固话融合</w:t>
            </w:r>
          </w:p>
        </w:tc>
        <w:tc>
          <w:tcPr>
            <w:tcW w:w="62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bCs/>
                <w:sz w:val="18"/>
                <w:szCs w:val="18"/>
              </w:rPr>
            </w:pPr>
            <w:r>
              <w:rPr>
                <w:rFonts w:hint="eastAsia" w:ascii="宋体" w:hAnsi="宋体" w:cs="Arial"/>
                <w:bCs/>
                <w:sz w:val="18"/>
                <w:szCs w:val="18"/>
              </w:rPr>
              <w:t>★提供学校范围内固定电话接入服务，号码数量不低于50个，所有号码共享使用通话分钟池，分钟池不低于</w:t>
            </w:r>
            <w:r>
              <w:rPr>
                <w:rFonts w:ascii="宋体" w:hAnsi="宋体" w:cs="Arial"/>
                <w:bCs/>
                <w:sz w:val="18"/>
                <w:szCs w:val="18"/>
              </w:rPr>
              <w:t>9</w:t>
            </w:r>
            <w:r>
              <w:rPr>
                <w:rFonts w:hint="eastAsia" w:ascii="宋体" w:hAnsi="宋体" w:cs="Arial"/>
                <w:bCs/>
                <w:sz w:val="18"/>
                <w:szCs w:val="18"/>
              </w:rPr>
              <w:t>000分钟（国内不区分市话长途费），套餐费不高于</w:t>
            </w:r>
            <w:r>
              <w:rPr>
                <w:rFonts w:ascii="宋体" w:hAnsi="宋体" w:cs="Arial"/>
                <w:bCs/>
                <w:sz w:val="18"/>
                <w:szCs w:val="18"/>
              </w:rPr>
              <w:t>1000</w:t>
            </w:r>
            <w:r>
              <w:rPr>
                <w:rFonts w:hint="eastAsia" w:ascii="宋体" w:hAnsi="宋体" w:cs="Arial"/>
                <w:bCs/>
                <w:sz w:val="18"/>
                <w:szCs w:val="18"/>
              </w:rPr>
              <w:t>元，无月租费、安装费、调试费，并在10个</w:t>
            </w:r>
            <w:r>
              <w:rPr>
                <w:rFonts w:ascii="宋体" w:hAnsi="宋体" w:cs="Arial"/>
                <w:bCs/>
                <w:sz w:val="18"/>
                <w:szCs w:val="18"/>
              </w:rPr>
              <w:t>工作日内</w:t>
            </w:r>
            <w:r>
              <w:rPr>
                <w:rFonts w:hint="eastAsia" w:ascii="宋体" w:hAnsi="宋体" w:cs="Arial"/>
                <w:bCs/>
                <w:sz w:val="18"/>
                <w:szCs w:val="18"/>
              </w:rPr>
              <w:t>完</w:t>
            </w:r>
            <w:r>
              <w:rPr>
                <w:rFonts w:ascii="宋体" w:hAnsi="宋体" w:cs="Arial"/>
                <w:bCs/>
                <w:sz w:val="18"/>
                <w:szCs w:val="18"/>
              </w:rPr>
              <w:t>成信号</w:t>
            </w:r>
            <w:r>
              <w:rPr>
                <w:rFonts w:hint="eastAsia" w:ascii="宋体" w:hAnsi="宋体" w:cs="Arial"/>
                <w:bCs/>
                <w:sz w:val="18"/>
                <w:szCs w:val="18"/>
              </w:rPr>
              <w:t>调</w:t>
            </w:r>
            <w:r>
              <w:rPr>
                <w:rFonts w:ascii="宋体" w:hAnsi="宋体" w:cs="Arial"/>
                <w:bCs/>
                <w:sz w:val="18"/>
                <w:szCs w:val="18"/>
              </w:rPr>
              <w:t>试</w:t>
            </w:r>
            <w:r>
              <w:rPr>
                <w:rFonts w:hint="eastAsia" w:ascii="宋体" w:hAnsi="宋体" w:cs="Arial"/>
                <w:bCs/>
                <w:sz w:val="18"/>
                <w:szCs w:val="18"/>
              </w:rPr>
              <w:t>和开通工</w:t>
            </w:r>
            <w:r>
              <w:rPr>
                <w:rFonts w:ascii="宋体" w:hAnsi="宋体" w:cs="Arial"/>
                <w:bCs/>
                <w:sz w:val="18"/>
                <w:szCs w:val="18"/>
              </w:rPr>
              <w:t>作</w:t>
            </w:r>
            <w:r>
              <w:rPr>
                <w:rFonts w:hint="eastAsia" w:ascii="宋体" w:hAnsi="宋体" w:cs="Arial"/>
                <w:bCs/>
                <w:sz w:val="18"/>
                <w:szCs w:val="18"/>
              </w:rPr>
              <w:t>。</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rPr>
            </w:pPr>
          </w:p>
        </w:tc>
      </w:tr>
    </w:tbl>
    <w:p>
      <w:pPr>
        <w:pStyle w:val="2"/>
      </w:pPr>
    </w:p>
    <w:p>
      <w:pPr>
        <w:spacing w:line="360" w:lineRule="auto"/>
        <w:ind w:firstLine="480" w:firstLineChars="200"/>
        <w:outlineLvl w:val="1"/>
        <w:rPr>
          <w:rFonts w:ascii="仿宋" w:hAnsi="仿宋" w:eastAsia="仿宋"/>
          <w:sz w:val="28"/>
          <w:szCs w:val="28"/>
        </w:rPr>
      </w:pPr>
      <w:r>
        <w:rPr>
          <w:rFonts w:hint="eastAsia" w:ascii="仿宋" w:hAnsi="仿宋" w:eastAsia="仿宋"/>
          <w:sz w:val="24"/>
        </w:rPr>
        <w:t>三、商务条件</w:t>
      </w:r>
      <w:bookmarkEnd w:id="3"/>
    </w:p>
    <w:p>
      <w:pPr>
        <w:spacing w:line="360" w:lineRule="auto"/>
        <w:ind w:firstLine="480" w:firstLineChars="200"/>
        <w:outlineLvl w:val="2"/>
        <w:rPr>
          <w:rFonts w:ascii="仿宋" w:hAnsi="仿宋" w:eastAsia="仿宋"/>
          <w:sz w:val="24"/>
        </w:rPr>
      </w:pPr>
      <w:r>
        <w:rPr>
          <w:rFonts w:hint="eastAsia" w:ascii="仿宋" w:hAnsi="仿宋" w:eastAsia="仿宋"/>
          <w:sz w:val="24"/>
        </w:rPr>
        <w:t>1、服务期限</w:t>
      </w:r>
    </w:p>
    <w:p>
      <w:pPr>
        <w:spacing w:line="360" w:lineRule="auto"/>
        <w:ind w:firstLine="480" w:firstLineChars="200"/>
        <w:outlineLvl w:val="2"/>
        <w:rPr>
          <w:rFonts w:ascii="仿宋" w:hAnsi="仿宋" w:eastAsia="仿宋"/>
          <w:sz w:val="24"/>
        </w:rPr>
      </w:pPr>
      <w:r>
        <w:rPr>
          <w:rFonts w:hint="eastAsia" w:ascii="仿宋" w:hAnsi="仿宋" w:eastAsia="仿宋"/>
          <w:sz w:val="24"/>
        </w:rPr>
        <w:t>从验收合格之日起，合同质保期为三年。</w:t>
      </w:r>
    </w:p>
    <w:p>
      <w:pPr>
        <w:spacing w:line="360" w:lineRule="auto"/>
        <w:ind w:firstLine="480" w:firstLineChars="200"/>
        <w:outlineLvl w:val="2"/>
        <w:rPr>
          <w:rFonts w:ascii="仿宋" w:hAnsi="仿宋" w:eastAsia="仿宋"/>
          <w:sz w:val="24"/>
        </w:rPr>
      </w:pPr>
      <w:r>
        <w:rPr>
          <w:rFonts w:hint="eastAsia" w:ascii="仿宋" w:hAnsi="仿宋" w:eastAsia="仿宋"/>
          <w:sz w:val="24"/>
        </w:rPr>
        <w:t>2、服务地点</w:t>
      </w:r>
    </w:p>
    <w:p>
      <w:pPr>
        <w:spacing w:line="360" w:lineRule="auto"/>
        <w:ind w:firstLine="480" w:firstLineChars="200"/>
        <w:rPr>
          <w:rFonts w:ascii="仿宋" w:hAnsi="仿宋" w:eastAsia="仿宋"/>
          <w:sz w:val="24"/>
        </w:rPr>
      </w:pPr>
      <w:r>
        <w:rPr>
          <w:rFonts w:hint="eastAsia" w:ascii="仿宋" w:hAnsi="仿宋" w:eastAsia="仿宋"/>
          <w:sz w:val="24"/>
        </w:rPr>
        <w:t>青岛开放大学</w:t>
      </w:r>
    </w:p>
    <w:p>
      <w:pPr>
        <w:spacing w:line="360" w:lineRule="auto"/>
        <w:ind w:firstLine="480" w:firstLineChars="200"/>
        <w:outlineLvl w:val="2"/>
        <w:rPr>
          <w:rFonts w:ascii="仿宋" w:hAnsi="仿宋" w:eastAsia="仿宋"/>
          <w:sz w:val="24"/>
        </w:rPr>
      </w:pPr>
      <w:r>
        <w:rPr>
          <w:rFonts w:hint="eastAsia" w:ascii="仿宋" w:hAnsi="仿宋" w:eastAsia="仿宋"/>
          <w:sz w:val="24"/>
        </w:rPr>
        <w:t>3、付款方式：按年支付</w:t>
      </w:r>
    </w:p>
    <w:p>
      <w:pPr>
        <w:spacing w:line="360" w:lineRule="auto"/>
        <w:ind w:firstLine="480" w:firstLineChars="200"/>
        <w:outlineLvl w:val="2"/>
        <w:rPr>
          <w:rFonts w:ascii="仿宋" w:hAnsi="仿宋" w:eastAsia="仿宋"/>
          <w:sz w:val="24"/>
        </w:rPr>
      </w:pPr>
      <w:r>
        <w:rPr>
          <w:rFonts w:hint="eastAsia" w:ascii="仿宋" w:hAnsi="仿宋" w:eastAsia="仿宋"/>
          <w:sz w:val="24"/>
        </w:rPr>
        <w:t>4、服务保障</w:t>
      </w:r>
    </w:p>
    <w:p>
      <w:pPr>
        <w:autoSpaceDE w:val="0"/>
        <w:autoSpaceDN w:val="0"/>
        <w:adjustRightInd w:val="0"/>
        <w:spacing w:line="360" w:lineRule="auto"/>
        <w:ind w:firstLine="480" w:firstLineChars="200"/>
        <w:rPr>
          <w:rFonts w:ascii="仿宋" w:hAnsi="Calibri" w:eastAsia="仿宋" w:cs="仿宋"/>
          <w:sz w:val="24"/>
          <w:szCs w:val="22"/>
          <w:lang w:val="zh-CN"/>
        </w:rPr>
      </w:pPr>
      <w:r>
        <w:rPr>
          <w:rFonts w:hint="eastAsia" w:ascii="仿宋" w:hAnsi="仿宋" w:eastAsia="仿宋"/>
          <w:sz w:val="24"/>
        </w:rPr>
        <w:t>中标人在接招标人通知后立即做出响应。</w:t>
      </w:r>
      <w:r>
        <w:rPr>
          <w:rFonts w:ascii="仿宋" w:hAnsi="Calibri" w:eastAsia="仿宋" w:cs="仿宋"/>
          <w:sz w:val="24"/>
          <w:szCs w:val="22"/>
          <w:lang w:val="zh-CN"/>
        </w:rPr>
        <w:br w:type="page"/>
      </w:r>
    </w:p>
    <w:p>
      <w:pPr>
        <w:pStyle w:val="8"/>
      </w:pPr>
      <w:bookmarkStart w:id="7" w:name="_Toc13853047"/>
      <w:r>
        <w:rPr>
          <w:rFonts w:hint="eastAsia"/>
        </w:rPr>
        <w:t>第四</w:t>
      </w:r>
      <w:r>
        <w:t>章</w:t>
      </w:r>
      <w:r>
        <w:rPr>
          <w:rFonts w:hint="eastAsia"/>
        </w:rPr>
        <w:t xml:space="preserve"> 评标办法</w:t>
      </w:r>
      <w:bookmarkEnd w:id="4"/>
      <w:bookmarkEnd w:id="7"/>
    </w:p>
    <w:p/>
    <w:p>
      <w:pPr>
        <w:spacing w:after="156" w:afterLines="50"/>
        <w:ind w:firstLine="480" w:firstLineChars="200"/>
        <w:rPr>
          <w:rFonts w:eastAsia="仿宋"/>
          <w:sz w:val="24"/>
        </w:rPr>
      </w:pPr>
      <w:bookmarkStart w:id="8" w:name="_Toc494456847"/>
      <w:r>
        <w:rPr>
          <w:rFonts w:hint="eastAsia" w:eastAsia="仿宋"/>
          <w:sz w:val="24"/>
        </w:rPr>
        <w:t>一、综合评分法</w:t>
      </w:r>
      <w:bookmarkEnd w:id="8"/>
    </w:p>
    <w:p>
      <w:pPr>
        <w:spacing w:after="156" w:afterLines="50"/>
        <w:ind w:firstLine="480" w:firstLineChars="200"/>
        <w:rPr>
          <w:rFonts w:ascii="仿宋" w:hAnsi="仿宋" w:eastAsia="仿宋"/>
          <w:sz w:val="24"/>
        </w:rPr>
      </w:pPr>
      <w:bookmarkStart w:id="9" w:name="_Toc494456849"/>
      <w:r>
        <w:rPr>
          <w:rFonts w:hint="eastAsia" w:ascii="仿宋" w:hAnsi="仿宋" w:eastAsia="仿宋"/>
          <w:sz w:val="24"/>
        </w:rPr>
        <w:t>1、相关要求</w:t>
      </w:r>
      <w:bookmarkEnd w:id="9"/>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、当投标人未提供符合招标文件规定的技术支持资料时，其技术部分得</w:t>
      </w:r>
      <w:r>
        <w:rPr>
          <w:rFonts w:ascii="仿宋" w:hAnsi="仿宋" w:eastAsia="仿宋"/>
          <w:sz w:val="24"/>
        </w:rPr>
        <w:t>0</w:t>
      </w:r>
      <w:r>
        <w:rPr>
          <w:rFonts w:hint="eastAsia" w:ascii="仿宋" w:hAnsi="仿宋" w:eastAsia="仿宋"/>
          <w:sz w:val="24"/>
        </w:rPr>
        <w:t>分。</w:t>
      </w:r>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、技术汇总得分的计算方法：评标委员会成员技术评分的算术平均值。</w:t>
      </w:r>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.3</w:t>
      </w:r>
      <w:r>
        <w:rPr>
          <w:rFonts w:hint="eastAsia" w:ascii="仿宋" w:hAnsi="仿宋" w:eastAsia="仿宋"/>
          <w:sz w:val="24"/>
        </w:rPr>
        <w:t>、当投标人所提供的服务与招标文件要求相同，但其表述不同时不扣分。</w:t>
      </w:r>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.4</w:t>
      </w:r>
      <w:r>
        <w:rPr>
          <w:rFonts w:hint="eastAsia" w:ascii="仿宋" w:hAnsi="仿宋" w:eastAsia="仿宋"/>
          <w:sz w:val="24"/>
        </w:rPr>
        <w:t>、“同类项目”是指投标人已经完成的与本次采购要求相同或者类同的服务，并且签订合同一方必须是投标人，以相同或者类同部分的合同金额为准。</w:t>
      </w:r>
    </w:p>
    <w:p>
      <w:pPr>
        <w:spacing w:after="156" w:afterLines="50"/>
        <w:ind w:firstLine="480" w:firstLineChars="200"/>
        <w:rPr>
          <w:rFonts w:ascii="仿宋" w:hAnsi="仿宋" w:eastAsia="仿宋"/>
          <w:sz w:val="24"/>
        </w:rPr>
      </w:pPr>
      <w:r>
        <w:rPr>
          <w:rFonts w:hint="eastAsia" w:ascii="仿宋" w:hAnsi="仿宋" w:eastAsia="仿宋"/>
          <w:sz w:val="24"/>
        </w:rPr>
        <w:t>1.5、</w:t>
      </w:r>
      <w:r>
        <w:rPr>
          <w:rFonts w:ascii="仿宋" w:hAnsi="仿宋" w:eastAsia="仿宋"/>
          <w:sz w:val="24"/>
        </w:rPr>
        <w:t>执行国家统一定价标准和采用固定价格采购的项目，其价格不列为评审因素。</w:t>
      </w:r>
    </w:p>
    <w:p>
      <w:pPr>
        <w:spacing w:after="156" w:afterLines="50"/>
        <w:ind w:firstLine="480" w:firstLineChars="200"/>
        <w:rPr>
          <w:rFonts w:ascii="仿宋" w:hAnsi="仿宋" w:eastAsia="仿宋"/>
          <w:sz w:val="24"/>
        </w:rPr>
      </w:pPr>
      <w:r>
        <w:rPr>
          <w:rFonts w:hint="eastAsia" w:ascii="仿宋" w:hAnsi="仿宋" w:eastAsia="仿宋"/>
          <w:sz w:val="24"/>
        </w:rPr>
        <w:t>1.6、残疾人就业单位依据财政部民政部《中国残疾人联合会关于促进残疾人就业政府采购政策的通知》（财库〔2m7〕14 1号）文件规定执行，投标人须提供《残疾人福利性单位声明函》原件并对声明函的真实性负责。</w:t>
      </w:r>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7、残疾人就业单位以联合体投标的不累计加分，以联合体各方中加分最高的为准。</w:t>
      </w:r>
    </w:p>
    <w:p>
      <w:pPr>
        <w:spacing w:after="156" w:afterLines="50"/>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8、中型、小型、微型企业应当同时符合以下条件：</w:t>
      </w:r>
    </w:p>
    <w:p>
      <w:pPr>
        <w:spacing w:after="156" w:afterLines="50"/>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8.1、依据财政部、工业和信息化部《政府采购促进中小企业发展暂行办法》（财库〔2011〕181号）规定，中型、小型和微型企业投标的须提供《中小企业声明函》原件并对声明函的真实性负责；</w:t>
      </w:r>
    </w:p>
    <w:p>
      <w:pPr>
        <w:spacing w:after="156" w:afterLines="50"/>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8.2、按照《关于印发中小企业划型标准规定的通知》（工信部联企业〔2011〕300号）规定，投标人应符合中小企业划分标准；所称中小企业划分标准，是指国务院有关部门根据企业从业人员、营业收入、资产总额等指标制定的中小企业划型标准。</w:t>
      </w:r>
    </w:p>
    <w:p>
      <w:pPr>
        <w:spacing w:after="156" w:afterLines="50"/>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8.3、提供本企业服务。本项所称服务不包括使用大型企业的服务。</w:t>
      </w:r>
    </w:p>
    <w:p>
      <w:pPr>
        <w:spacing w:after="156" w:afterLines="50"/>
        <w:ind w:firstLine="480" w:firstLineChars="200"/>
        <w:rPr>
          <w:rFonts w:ascii="仿宋" w:hAnsi="仿宋" w:eastAsia="仿宋"/>
          <w:sz w:val="24"/>
        </w:rPr>
      </w:pPr>
      <w:r>
        <w:rPr>
          <w:rFonts w:hint="eastAsia" w:ascii="仿宋" w:hAnsi="仿宋" w:eastAsia="仿宋"/>
          <w:sz w:val="24"/>
        </w:rPr>
        <w:t>1.9、小型、微型企业提供中型企业服务的，视同为中型企业。</w:t>
      </w:r>
    </w:p>
    <w:p>
      <w:pPr>
        <w:spacing w:after="156" w:afterLines="50"/>
        <w:ind w:firstLine="480" w:firstLineChars="200"/>
        <w:rPr>
          <w:rFonts w:ascii="仿宋" w:hAnsi="仿宋" w:eastAsia="仿宋"/>
          <w:sz w:val="24"/>
        </w:rPr>
      </w:pPr>
      <w:r>
        <w:rPr>
          <w:rFonts w:hint="eastAsia" w:ascii="仿宋" w:hAnsi="仿宋" w:eastAsia="仿宋"/>
          <w:sz w:val="24"/>
        </w:rPr>
        <w:t>1.10、评分得分非整数的保留小数点后两位（小数点后第三位数四舍五入）。</w:t>
      </w:r>
    </w:p>
    <w:p>
      <w:pPr>
        <w:spacing w:after="156" w:afterLines="50"/>
        <w:ind w:firstLine="480" w:firstLineChars="200"/>
        <w:rPr>
          <w:rFonts w:ascii="仿宋" w:hAnsi="仿宋" w:eastAsia="仿宋"/>
          <w:sz w:val="24"/>
        </w:rPr>
      </w:pPr>
      <w:r>
        <w:rPr>
          <w:rFonts w:hint="eastAsia" w:ascii="仿宋" w:hAnsi="仿宋" w:eastAsia="仿宋"/>
          <w:sz w:val="24"/>
        </w:rPr>
        <w:t>1.11、监狱企业参与政府采购活动，均视同小型、微型企业，享受国家优惠政策。</w:t>
      </w:r>
    </w:p>
    <w:p>
      <w:pPr>
        <w:spacing w:after="156" w:afterLines="50"/>
        <w:rPr>
          <w:rFonts w:ascii="仿宋" w:hAnsi="仿宋" w:eastAsia="仿宋"/>
          <w:sz w:val="24"/>
        </w:rPr>
      </w:pPr>
    </w:p>
    <w:p>
      <w:pPr>
        <w:spacing w:after="156" w:afterLines="50"/>
        <w:rPr>
          <w:rFonts w:ascii="仿宋" w:hAnsi="仿宋" w:eastAsia="仿宋"/>
          <w:sz w:val="24"/>
        </w:rPr>
      </w:pPr>
    </w:p>
    <w:p>
      <w:pPr>
        <w:spacing w:after="156" w:afterLines="50"/>
        <w:rPr>
          <w:rFonts w:ascii="仿宋" w:hAnsi="仿宋" w:eastAsia="仿宋"/>
          <w:sz w:val="24"/>
        </w:rPr>
      </w:pPr>
    </w:p>
    <w:p>
      <w:pPr>
        <w:spacing w:after="156" w:afterLines="50"/>
        <w:rPr>
          <w:rFonts w:ascii="仿宋" w:hAnsi="仿宋" w:eastAsia="仿宋"/>
          <w:sz w:val="24"/>
        </w:rPr>
      </w:pPr>
    </w:p>
    <w:p>
      <w:pPr>
        <w:spacing w:after="156" w:afterLines="50"/>
        <w:ind w:firstLine="480" w:firstLineChars="200"/>
        <w:rPr>
          <w:rFonts w:ascii="仿宋" w:hAnsi="仿宋" w:eastAsia="仿宋"/>
          <w:sz w:val="24"/>
        </w:rPr>
      </w:pPr>
      <w:bookmarkStart w:id="10" w:name="_Toc494456850"/>
      <w:r>
        <w:rPr>
          <w:rFonts w:hint="eastAsia" w:ascii="仿宋" w:hAnsi="仿宋" w:eastAsia="仿宋"/>
          <w:sz w:val="24"/>
        </w:rPr>
        <w:t>2、评分标准</w:t>
      </w:r>
      <w:bookmarkEnd w:id="10"/>
    </w:p>
    <w:p>
      <w:pPr>
        <w:spacing w:after="156" w:afterLines="50"/>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.1</w:t>
      </w:r>
      <w:r>
        <w:rPr>
          <w:rFonts w:hint="eastAsia" w:ascii="仿宋" w:hAnsi="仿宋" w:eastAsia="仿宋"/>
          <w:sz w:val="24"/>
        </w:rPr>
        <w:t>、评分因素以及分值</w:t>
      </w:r>
    </w:p>
    <w:tbl>
      <w:tblPr>
        <w:tblStyle w:val="9"/>
        <w:tblW w:w="8771" w:type="dxa"/>
        <w:tblInd w:w="-132" w:type="dxa"/>
        <w:tblLayout w:type="fixed"/>
        <w:tblCellMar>
          <w:top w:w="0" w:type="dxa"/>
          <w:left w:w="10" w:type="dxa"/>
          <w:bottom w:w="0" w:type="dxa"/>
          <w:right w:w="10" w:type="dxa"/>
        </w:tblCellMar>
      </w:tblPr>
      <w:tblGrid>
        <w:gridCol w:w="1967"/>
        <w:gridCol w:w="2268"/>
        <w:gridCol w:w="2268"/>
        <w:gridCol w:w="2268"/>
      </w:tblGrid>
      <w:tr>
        <w:tblPrEx>
          <w:tblCellMar>
            <w:top w:w="0" w:type="dxa"/>
            <w:left w:w="10" w:type="dxa"/>
            <w:bottom w:w="0" w:type="dxa"/>
            <w:right w:w="10" w:type="dxa"/>
          </w:tblCellMar>
        </w:tblPrEx>
        <w:trPr>
          <w:trHeight w:val="750" w:hRule="atLeast"/>
        </w:trPr>
        <w:tc>
          <w:tcPr>
            <w:tcW w:w="1967"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4" w:right="-315" w:hanging="1228"/>
              <w:jc w:val="center"/>
              <w:rPr>
                <w:rFonts w:ascii="仿宋" w:hAnsi="仿宋" w:eastAsia="仿宋"/>
                <w:bCs/>
                <w:sz w:val="24"/>
                <w:lang w:val="zh-CN"/>
              </w:rPr>
            </w:pPr>
            <w:r>
              <w:rPr>
                <w:rFonts w:hint="eastAsia" w:ascii="仿宋" w:hAnsi="仿宋" w:eastAsia="仿宋" w:cs="仿宋"/>
                <w:bCs/>
                <w:sz w:val="24"/>
                <w:lang w:val="zh-CN"/>
              </w:rPr>
              <w:t>评分因素</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4" w:right="-315" w:hanging="1228"/>
              <w:jc w:val="center"/>
              <w:rPr>
                <w:rFonts w:ascii="仿宋" w:hAnsi="仿宋" w:eastAsia="仿宋"/>
                <w:bCs/>
                <w:sz w:val="24"/>
                <w:lang w:val="zh-CN"/>
              </w:rPr>
            </w:pPr>
            <w:r>
              <w:rPr>
                <w:rFonts w:hint="eastAsia" w:ascii="仿宋" w:hAnsi="仿宋" w:eastAsia="仿宋" w:cs="仿宋"/>
                <w:bCs/>
                <w:sz w:val="24"/>
                <w:lang w:val="zh-CN"/>
              </w:rPr>
              <w:t>商务部分</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4" w:right="-315" w:hanging="1228"/>
              <w:jc w:val="center"/>
              <w:rPr>
                <w:rFonts w:ascii="仿宋" w:hAnsi="仿宋" w:eastAsia="仿宋"/>
                <w:bCs/>
                <w:sz w:val="24"/>
                <w:lang w:val="zh-CN"/>
              </w:rPr>
            </w:pPr>
            <w:r>
              <w:rPr>
                <w:rFonts w:hint="eastAsia" w:ascii="仿宋" w:hAnsi="仿宋" w:eastAsia="仿宋" w:cs="仿宋"/>
                <w:bCs/>
                <w:sz w:val="24"/>
                <w:lang w:val="zh-CN"/>
              </w:rPr>
              <w:t>技术部分</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4" w:right="-315" w:hanging="1228"/>
              <w:jc w:val="center"/>
              <w:rPr>
                <w:rFonts w:ascii="仿宋" w:hAnsi="仿宋" w:eastAsia="仿宋"/>
                <w:bCs/>
                <w:sz w:val="24"/>
                <w:lang w:val="zh-CN"/>
              </w:rPr>
            </w:pPr>
            <w:r>
              <w:rPr>
                <w:rFonts w:hint="eastAsia" w:ascii="仿宋" w:hAnsi="仿宋" w:eastAsia="仿宋" w:cs="仿宋"/>
                <w:bCs/>
                <w:sz w:val="24"/>
                <w:lang w:val="zh-CN"/>
              </w:rPr>
              <w:t>总分</w:t>
            </w:r>
          </w:p>
        </w:tc>
      </w:tr>
      <w:tr>
        <w:tblPrEx>
          <w:tblCellMar>
            <w:top w:w="0" w:type="dxa"/>
            <w:left w:w="10" w:type="dxa"/>
            <w:bottom w:w="0" w:type="dxa"/>
            <w:right w:w="10" w:type="dxa"/>
          </w:tblCellMar>
        </w:tblPrEx>
        <w:trPr>
          <w:trHeight w:val="758" w:hRule="atLeast"/>
        </w:trPr>
        <w:tc>
          <w:tcPr>
            <w:tcW w:w="1967"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0" w:right="-315" w:hanging="1224"/>
              <w:jc w:val="center"/>
              <w:rPr>
                <w:rFonts w:ascii="仿宋" w:hAnsi="仿宋" w:eastAsia="仿宋"/>
                <w:sz w:val="24"/>
                <w:lang w:val="zh-CN"/>
              </w:rPr>
            </w:pPr>
            <w:r>
              <w:rPr>
                <w:rFonts w:hint="eastAsia" w:ascii="仿宋" w:hAnsi="仿宋" w:eastAsia="仿宋" w:cs="仿宋"/>
                <w:sz w:val="24"/>
                <w:lang w:val="zh-CN"/>
              </w:rPr>
              <w:t>分值比重</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0" w:right="-315" w:hanging="1224"/>
              <w:jc w:val="center"/>
              <w:rPr>
                <w:rFonts w:ascii="仿宋" w:hAnsi="仿宋" w:eastAsia="仿宋"/>
                <w:sz w:val="24"/>
                <w:lang w:val="zh-CN"/>
              </w:rPr>
            </w:pPr>
            <w:r>
              <w:rPr>
                <w:rFonts w:hint="eastAsia" w:ascii="仿宋" w:hAnsi="仿宋" w:eastAsia="仿宋" w:cs="仿宋"/>
                <w:sz w:val="24"/>
                <w:lang w:val="zh-CN"/>
              </w:rPr>
              <w:t>30分</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0" w:right="-315" w:hanging="1224"/>
              <w:jc w:val="center"/>
              <w:rPr>
                <w:rFonts w:ascii="仿宋" w:hAnsi="仿宋" w:eastAsia="仿宋"/>
                <w:sz w:val="24"/>
                <w:lang w:val="zh-CN"/>
              </w:rPr>
            </w:pPr>
            <w:r>
              <w:rPr>
                <w:rFonts w:hint="eastAsia" w:ascii="仿宋" w:hAnsi="仿宋" w:eastAsia="仿宋" w:cs="仿宋"/>
                <w:sz w:val="24"/>
                <w:lang w:val="zh-CN"/>
              </w:rPr>
              <w:t>70分</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0" w:right="-315" w:hanging="1224"/>
              <w:jc w:val="center"/>
              <w:rPr>
                <w:rFonts w:ascii="仿宋" w:hAnsi="仿宋" w:eastAsia="仿宋"/>
                <w:sz w:val="24"/>
                <w:lang w:val="zh-CN"/>
              </w:rPr>
            </w:pPr>
            <w:r>
              <w:rPr>
                <w:rFonts w:ascii="仿宋" w:hAnsi="仿宋" w:eastAsia="仿宋" w:cs="仿宋"/>
                <w:sz w:val="24"/>
                <w:lang w:val="zh-CN"/>
              </w:rPr>
              <w:t>1</w:t>
            </w:r>
            <w:r>
              <w:rPr>
                <w:rFonts w:hint="eastAsia" w:ascii="仿宋" w:hAnsi="仿宋" w:eastAsia="仿宋" w:cs="仿宋"/>
                <w:sz w:val="24"/>
                <w:lang w:val="zh-CN"/>
              </w:rPr>
              <w:t>0</w:t>
            </w:r>
            <w:r>
              <w:rPr>
                <w:rFonts w:ascii="仿宋" w:hAnsi="仿宋" w:eastAsia="仿宋" w:cs="仿宋"/>
                <w:sz w:val="24"/>
                <w:lang w:val="zh-CN"/>
              </w:rPr>
              <w:t>0</w:t>
            </w:r>
            <w:r>
              <w:rPr>
                <w:rFonts w:hint="eastAsia" w:ascii="仿宋" w:hAnsi="仿宋" w:eastAsia="仿宋" w:cs="仿宋"/>
                <w:sz w:val="24"/>
                <w:lang w:val="zh-CN"/>
              </w:rPr>
              <w:t>分</w:t>
            </w:r>
          </w:p>
        </w:tc>
      </w:tr>
    </w:tbl>
    <w:p>
      <w:pPr>
        <w:spacing w:after="156" w:afterLines="50"/>
        <w:ind w:firstLine="480" w:firstLineChars="200"/>
        <w:rPr>
          <w:rFonts w:ascii="仿宋" w:hAnsi="仿宋" w:eastAsia="仿宋"/>
          <w:sz w:val="24"/>
        </w:rPr>
      </w:pPr>
    </w:p>
    <w:p>
      <w:pPr>
        <w:spacing w:after="156" w:afterLines="50"/>
        <w:ind w:firstLine="480" w:firstLineChars="200"/>
        <w:rPr>
          <w:rFonts w:ascii="仿宋" w:hAnsi="仿宋" w:eastAsia="仿宋"/>
          <w:sz w:val="24"/>
        </w:rPr>
      </w:pPr>
    </w:p>
    <w:p>
      <w:pPr>
        <w:spacing w:after="156" w:afterLines="50"/>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.2</w:t>
      </w:r>
      <w:r>
        <w:rPr>
          <w:rFonts w:hint="eastAsia" w:ascii="仿宋" w:hAnsi="仿宋" w:eastAsia="仿宋"/>
          <w:sz w:val="24"/>
        </w:rPr>
        <w:t>、商务部分</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6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pPr>
              <w:spacing w:after="156" w:afterLines="50"/>
              <w:rPr>
                <w:rFonts w:ascii="仿宋" w:hAnsi="仿宋" w:eastAsia="仿宋"/>
                <w:sz w:val="24"/>
              </w:rPr>
            </w:pPr>
            <w:r>
              <w:rPr>
                <w:rFonts w:hint="eastAsia" w:ascii="仿宋" w:hAnsi="仿宋" w:eastAsia="仿宋"/>
                <w:sz w:val="24"/>
              </w:rPr>
              <w:t>评分因素</w:t>
            </w:r>
          </w:p>
        </w:tc>
        <w:tc>
          <w:tcPr>
            <w:tcW w:w="936" w:type="dxa"/>
            <w:vAlign w:val="center"/>
          </w:tcPr>
          <w:p>
            <w:pPr>
              <w:spacing w:after="156" w:afterLines="50"/>
              <w:rPr>
                <w:rFonts w:ascii="仿宋" w:hAnsi="仿宋" w:eastAsia="仿宋"/>
                <w:sz w:val="24"/>
              </w:rPr>
            </w:pPr>
            <w:r>
              <w:rPr>
                <w:rFonts w:hint="eastAsia" w:ascii="仿宋" w:hAnsi="仿宋" w:eastAsia="仿宋"/>
                <w:sz w:val="24"/>
              </w:rPr>
              <w:t>分数</w:t>
            </w:r>
          </w:p>
        </w:tc>
        <w:tc>
          <w:tcPr>
            <w:tcW w:w="6151" w:type="dxa"/>
            <w:vAlign w:val="center"/>
          </w:tcPr>
          <w:p>
            <w:pPr>
              <w:spacing w:after="156" w:afterLines="50"/>
              <w:ind w:firstLine="480" w:firstLineChars="200"/>
              <w:rPr>
                <w:rFonts w:ascii="仿宋" w:hAnsi="仿宋" w:eastAsia="仿宋"/>
                <w:sz w:val="24"/>
              </w:rPr>
            </w:pPr>
            <w:r>
              <w:rPr>
                <w:rFonts w:hint="eastAsia" w:ascii="仿宋" w:hAnsi="仿宋" w:eastAsia="仿宋"/>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pPr>
              <w:spacing w:after="156" w:afterLines="50"/>
              <w:rPr>
                <w:rFonts w:ascii="仿宋" w:hAnsi="仿宋" w:eastAsia="仿宋"/>
                <w:sz w:val="24"/>
              </w:rPr>
            </w:pPr>
            <w:r>
              <w:rPr>
                <w:rFonts w:hint="eastAsia" w:ascii="仿宋" w:hAnsi="仿宋" w:eastAsia="仿宋"/>
                <w:sz w:val="24"/>
              </w:rPr>
              <w:t>报价得分</w:t>
            </w:r>
          </w:p>
        </w:tc>
        <w:tc>
          <w:tcPr>
            <w:tcW w:w="936" w:type="dxa"/>
            <w:vAlign w:val="center"/>
          </w:tcPr>
          <w:p>
            <w:pPr>
              <w:spacing w:after="156" w:afterLines="50"/>
              <w:rPr>
                <w:rFonts w:ascii="仿宋" w:hAnsi="仿宋" w:eastAsia="仿宋"/>
                <w:sz w:val="24"/>
              </w:rPr>
            </w:pPr>
            <w:r>
              <w:rPr>
                <w:rFonts w:hint="eastAsia" w:ascii="仿宋" w:hAnsi="仿宋" w:eastAsia="仿宋"/>
                <w:sz w:val="24"/>
              </w:rPr>
              <w:t>20分</w:t>
            </w:r>
          </w:p>
        </w:tc>
        <w:tc>
          <w:tcPr>
            <w:tcW w:w="6151" w:type="dxa"/>
            <w:vAlign w:val="center"/>
          </w:tcPr>
          <w:p>
            <w:pPr>
              <w:widowControl/>
              <w:jc w:val="left"/>
              <w:rPr>
                <w:rFonts w:ascii="仿宋" w:hAnsi="仿宋" w:eastAsia="仿宋"/>
                <w:sz w:val="24"/>
              </w:rPr>
            </w:pPr>
            <w:r>
              <w:rPr>
                <w:rFonts w:hint="eastAsia" w:ascii="仿宋" w:hAnsi="仿宋" w:eastAsia="仿宋"/>
                <w:sz w:val="24"/>
              </w:rPr>
              <w:t>满足采购文件要求且响应价格（修正后报价或者最终价格）最低报价为评标基准价，对应报价得分为</w:t>
            </w:r>
            <w:r>
              <w:rPr>
                <w:rFonts w:hint="eastAsia" w:ascii="仿宋" w:hAnsi="仿宋" w:eastAsia="仿宋"/>
                <w:sz w:val="24"/>
                <w:lang w:val="en-US" w:eastAsia="zh-CN"/>
              </w:rPr>
              <w:t>20</w:t>
            </w:r>
            <w:r>
              <w:rPr>
                <w:rFonts w:hint="eastAsia" w:ascii="仿宋" w:hAnsi="仿宋" w:eastAsia="仿宋"/>
                <w:sz w:val="24"/>
              </w:rPr>
              <w:t>分。</w:t>
            </w:r>
          </w:p>
          <w:p>
            <w:pPr>
              <w:pStyle w:val="2"/>
            </w:pPr>
          </w:p>
          <w:p>
            <w:pPr>
              <w:widowControl/>
              <w:jc w:val="left"/>
              <w:rPr>
                <w:rFonts w:ascii="仿宋" w:hAnsi="仿宋" w:eastAsia="仿宋"/>
                <w:sz w:val="24"/>
              </w:rPr>
            </w:pPr>
            <w:r>
              <w:rPr>
                <w:rFonts w:hint="eastAsia" w:ascii="仿宋" w:hAnsi="仿宋" w:eastAsia="仿宋"/>
                <w:sz w:val="24"/>
              </w:rPr>
              <w:t>报价得分=评标基准价÷（响应报价、修正后报价或者最终价格）×20。</w:t>
            </w:r>
            <w:bookmarkStart w:id="88" w:name="_GoBack"/>
            <w:bookmarkEnd w:id="88"/>
          </w:p>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1526" w:type="dxa"/>
            <w:vAlign w:val="center"/>
          </w:tcPr>
          <w:p>
            <w:pPr>
              <w:spacing w:after="156" w:afterLines="50"/>
              <w:rPr>
                <w:rFonts w:ascii="仿宋" w:hAnsi="仿宋" w:eastAsia="仿宋"/>
                <w:sz w:val="24"/>
              </w:rPr>
            </w:pPr>
            <w:r>
              <w:rPr>
                <w:rFonts w:hint="eastAsia" w:ascii="仿宋" w:hAnsi="仿宋" w:eastAsia="仿宋"/>
                <w:sz w:val="24"/>
              </w:rPr>
              <w:t>企业认证</w:t>
            </w:r>
          </w:p>
        </w:tc>
        <w:tc>
          <w:tcPr>
            <w:tcW w:w="936" w:type="dxa"/>
            <w:vAlign w:val="center"/>
          </w:tcPr>
          <w:p>
            <w:pPr>
              <w:spacing w:after="156" w:afterLines="50"/>
              <w:rPr>
                <w:rFonts w:ascii="仿宋" w:hAnsi="仿宋" w:eastAsia="仿宋"/>
                <w:sz w:val="24"/>
              </w:rPr>
            </w:pPr>
            <w:r>
              <w:rPr>
                <w:rFonts w:hint="eastAsia" w:ascii="仿宋" w:hAnsi="仿宋" w:eastAsia="仿宋"/>
                <w:sz w:val="24"/>
              </w:rPr>
              <w:t>5分</w:t>
            </w:r>
          </w:p>
        </w:tc>
        <w:tc>
          <w:tcPr>
            <w:tcW w:w="6151" w:type="dxa"/>
            <w:vAlign w:val="center"/>
          </w:tcPr>
          <w:p>
            <w:pPr>
              <w:widowControl/>
              <w:jc w:val="left"/>
              <w:rPr>
                <w:rFonts w:ascii="仿宋" w:hAnsi="仿宋" w:eastAsia="仿宋"/>
                <w:sz w:val="24"/>
              </w:rPr>
            </w:pPr>
            <w:r>
              <w:rPr>
                <w:rFonts w:hint="eastAsia" w:ascii="仿宋" w:hAnsi="仿宋" w:eastAsia="仿宋"/>
                <w:sz w:val="24"/>
              </w:rPr>
              <w:t>投标人通过ISO27001信息安全管理体系认证的，得3分。</w:t>
            </w:r>
          </w:p>
          <w:p>
            <w:pPr>
              <w:widowControl/>
              <w:jc w:val="left"/>
              <w:rPr>
                <w:rFonts w:ascii="仿宋" w:hAnsi="仿宋" w:eastAsia="仿宋"/>
                <w:sz w:val="24"/>
              </w:rPr>
            </w:pPr>
          </w:p>
          <w:p>
            <w:pPr>
              <w:widowControl/>
              <w:jc w:val="left"/>
              <w:rPr>
                <w:rFonts w:ascii="仿宋" w:hAnsi="仿宋" w:eastAsia="仿宋"/>
                <w:sz w:val="24"/>
              </w:rPr>
            </w:pPr>
            <w:r>
              <w:rPr>
                <w:rFonts w:hint="eastAsia" w:ascii="仿宋" w:hAnsi="仿宋" w:eastAsia="仿宋"/>
                <w:sz w:val="24"/>
              </w:rPr>
              <w:t>投标人通过ISO2000信息技术服务管理体系认证证书的，得2分。</w:t>
            </w:r>
          </w:p>
          <w:p>
            <w:pPr>
              <w:pStyle w:val="2"/>
            </w:pPr>
          </w:p>
          <w:p>
            <w:pPr>
              <w:widowControl/>
              <w:jc w:val="left"/>
              <w:rPr>
                <w:rFonts w:ascii="仿宋" w:hAnsi="仿宋" w:eastAsia="仿宋"/>
                <w:sz w:val="24"/>
              </w:rPr>
            </w:pPr>
            <w:r>
              <w:rPr>
                <w:rFonts w:hint="eastAsia" w:ascii="仿宋" w:hAnsi="仿宋" w:eastAsia="仿宋"/>
                <w:sz w:val="24"/>
              </w:rPr>
              <w:t>投标时须提供证书复印件加盖公章，否则不得分。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pPr>
              <w:spacing w:after="156" w:afterLines="50"/>
              <w:rPr>
                <w:rFonts w:ascii="仿宋" w:hAnsi="仿宋" w:eastAsia="仿宋"/>
                <w:sz w:val="24"/>
              </w:rPr>
            </w:pPr>
            <w:r>
              <w:rPr>
                <w:rFonts w:hint="eastAsia" w:ascii="宋体" w:hAnsi="宋体" w:cs="宋体"/>
              </w:rPr>
              <w:t>投标人业绩证明</w:t>
            </w:r>
          </w:p>
        </w:tc>
        <w:tc>
          <w:tcPr>
            <w:tcW w:w="936" w:type="dxa"/>
            <w:vAlign w:val="center"/>
          </w:tcPr>
          <w:p>
            <w:pPr>
              <w:spacing w:after="156" w:afterLines="50"/>
              <w:rPr>
                <w:rFonts w:ascii="仿宋" w:hAnsi="仿宋" w:eastAsia="仿宋"/>
                <w:sz w:val="24"/>
              </w:rPr>
            </w:pPr>
            <w:r>
              <w:rPr>
                <w:rFonts w:hint="eastAsia" w:ascii="仿宋" w:hAnsi="仿宋" w:eastAsia="仿宋"/>
                <w:sz w:val="24"/>
              </w:rPr>
              <w:t>5分</w:t>
            </w:r>
          </w:p>
        </w:tc>
        <w:tc>
          <w:tcPr>
            <w:tcW w:w="6151" w:type="dxa"/>
            <w:vAlign w:val="center"/>
          </w:tcPr>
          <w:p>
            <w:pPr>
              <w:spacing w:line="360" w:lineRule="auto"/>
              <w:rPr>
                <w:rFonts w:ascii="宋体" w:hAnsi="宋体" w:cs="宋体"/>
              </w:rPr>
            </w:pPr>
            <w:r>
              <w:rPr>
                <w:rFonts w:hint="eastAsia" w:ascii="宋体" w:hAnsi="宋体" w:cs="宋体"/>
              </w:rPr>
              <w:t>以</w:t>
            </w:r>
            <w:r>
              <w:rPr>
                <w:rFonts w:hint="eastAsia" w:ascii="宋体" w:hAnsi="宋体" w:cs="宋体"/>
                <w:bCs/>
              </w:rPr>
              <w:t>投标人</w:t>
            </w:r>
            <w:r>
              <w:rPr>
                <w:rFonts w:hint="eastAsia" w:ascii="宋体" w:hAnsi="宋体" w:cs="宋体"/>
              </w:rPr>
              <w:t>提供的20</w:t>
            </w:r>
            <w:r>
              <w:rPr>
                <w:rFonts w:hint="eastAsia" w:ascii="宋体" w:hAnsi="宋体" w:cs="宋体"/>
                <w:u w:val="single"/>
              </w:rPr>
              <w:t>20</w:t>
            </w:r>
            <w:r>
              <w:rPr>
                <w:rFonts w:hint="eastAsia" w:ascii="宋体" w:hAnsi="宋体" w:cs="宋体"/>
              </w:rPr>
              <w:t>年1月1日起至今的相关类业绩证明材料，须提供该项目合同复印件（加盖公章）, 每提供一份合格业绩得2分，本项满分5分。</w:t>
            </w:r>
          </w:p>
          <w:p>
            <w:pPr>
              <w:spacing w:after="156" w:afterLines="50"/>
              <w:rPr>
                <w:rFonts w:ascii="仿宋" w:hAnsi="仿宋" w:eastAsia="仿宋"/>
                <w:sz w:val="24"/>
              </w:rPr>
            </w:pPr>
            <w:r>
              <w:rPr>
                <w:rFonts w:hint="eastAsia" w:ascii="宋体" w:hAnsi="宋体" w:cs="宋体"/>
                <w:b/>
              </w:rPr>
              <w:t>（未提供或提供的评委不认可的，得0分）</w:t>
            </w:r>
          </w:p>
        </w:tc>
      </w:tr>
    </w:tbl>
    <w:p>
      <w:pPr>
        <w:spacing w:after="156" w:afterLines="50"/>
        <w:ind w:firstLine="480" w:firstLineChars="200"/>
        <w:rPr>
          <w:rFonts w:hint="eastAsia" w:ascii="仿宋" w:hAnsi="仿宋" w:eastAsia="仿宋"/>
          <w:sz w:val="24"/>
        </w:rPr>
      </w:pPr>
    </w:p>
    <w:p>
      <w:pPr>
        <w:pStyle w:val="2"/>
        <w:rPr>
          <w:rFonts w:hint="eastAsia"/>
        </w:rPr>
      </w:pPr>
    </w:p>
    <w:p/>
    <w:p>
      <w:pPr>
        <w:spacing w:after="156" w:afterLines="50"/>
        <w:ind w:firstLine="480" w:firstLineChars="200"/>
        <w:rPr>
          <w:rFonts w:ascii="仿宋" w:hAnsi="仿宋" w:eastAsia="仿宋"/>
          <w:sz w:val="24"/>
        </w:rPr>
      </w:pPr>
    </w:p>
    <w:p>
      <w:pPr>
        <w:spacing w:after="156" w:afterLines="50"/>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3、技术部分</w:t>
      </w:r>
    </w:p>
    <w:tbl>
      <w:tblPr>
        <w:tblStyle w:val="9"/>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87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sz w:val="24"/>
              </w:rPr>
              <w:t>评分因素</w:t>
            </w:r>
          </w:p>
        </w:tc>
        <w:tc>
          <w:tcPr>
            <w:tcW w:w="876" w:type="dxa"/>
            <w:vAlign w:val="center"/>
          </w:tcPr>
          <w:p>
            <w:pPr>
              <w:spacing w:after="156" w:afterLines="50"/>
              <w:rPr>
                <w:rFonts w:ascii="仿宋" w:hAnsi="仿宋" w:eastAsia="仿宋"/>
                <w:sz w:val="24"/>
              </w:rPr>
            </w:pPr>
            <w:r>
              <w:rPr>
                <w:rFonts w:hint="eastAsia" w:ascii="仿宋" w:hAnsi="仿宋" w:eastAsia="仿宋"/>
                <w:sz w:val="24"/>
              </w:rPr>
              <w:t>分数</w:t>
            </w:r>
          </w:p>
        </w:tc>
        <w:tc>
          <w:tcPr>
            <w:tcW w:w="6237" w:type="dxa"/>
            <w:vAlign w:val="center"/>
          </w:tcPr>
          <w:p>
            <w:pPr>
              <w:spacing w:after="156" w:afterLines="50"/>
              <w:ind w:firstLine="480" w:firstLineChars="200"/>
              <w:rPr>
                <w:rFonts w:ascii="仿宋" w:hAnsi="仿宋" w:eastAsia="仿宋"/>
                <w:sz w:val="24"/>
              </w:rPr>
            </w:pPr>
            <w:r>
              <w:rPr>
                <w:rFonts w:hint="eastAsia" w:ascii="仿宋" w:hAnsi="仿宋" w:eastAsia="仿宋"/>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sz w:val="24"/>
              </w:rPr>
              <w:t>响应情况</w:t>
            </w:r>
          </w:p>
        </w:tc>
        <w:tc>
          <w:tcPr>
            <w:tcW w:w="876" w:type="dxa"/>
            <w:vAlign w:val="center"/>
          </w:tcPr>
          <w:p>
            <w:pPr>
              <w:spacing w:after="156" w:afterLines="50"/>
              <w:rPr>
                <w:rFonts w:ascii="仿宋" w:hAnsi="仿宋" w:eastAsia="仿宋"/>
                <w:sz w:val="24"/>
              </w:rPr>
            </w:pPr>
            <w:r>
              <w:rPr>
                <w:rFonts w:ascii="仿宋" w:hAnsi="仿宋" w:eastAsia="仿宋"/>
                <w:sz w:val="24"/>
              </w:rPr>
              <w:t>25</w:t>
            </w:r>
            <w:r>
              <w:rPr>
                <w:rFonts w:hint="eastAsia" w:ascii="仿宋" w:hAnsi="仿宋" w:eastAsia="仿宋"/>
                <w:sz w:val="24"/>
              </w:rPr>
              <w:t>分</w:t>
            </w:r>
          </w:p>
        </w:tc>
        <w:tc>
          <w:tcPr>
            <w:tcW w:w="6237" w:type="dxa"/>
          </w:tcPr>
          <w:p>
            <w:pPr>
              <w:spacing w:after="156" w:afterLines="50"/>
              <w:rPr>
                <w:rFonts w:ascii="仿宋" w:hAnsi="仿宋" w:eastAsia="仿宋"/>
                <w:sz w:val="24"/>
              </w:rPr>
            </w:pPr>
            <w:r>
              <w:rPr>
                <w:rFonts w:hint="eastAsia" w:ascii="仿宋" w:hAnsi="仿宋" w:eastAsia="仿宋"/>
                <w:sz w:val="24"/>
              </w:rPr>
              <w:t>基础分为1</w:t>
            </w:r>
            <w:r>
              <w:rPr>
                <w:rFonts w:ascii="仿宋" w:hAnsi="仿宋" w:eastAsia="仿宋"/>
                <w:sz w:val="24"/>
              </w:rPr>
              <w:t>2</w:t>
            </w:r>
            <w:r>
              <w:rPr>
                <w:rFonts w:hint="eastAsia" w:ascii="仿宋" w:hAnsi="仿宋" w:eastAsia="仿宋"/>
                <w:sz w:val="24"/>
              </w:rPr>
              <w:t>分。</w:t>
            </w:r>
          </w:p>
          <w:p>
            <w:pPr>
              <w:spacing w:after="156" w:afterLines="50"/>
              <w:rPr>
                <w:rFonts w:ascii="仿宋" w:hAnsi="仿宋" w:eastAsia="仿宋"/>
                <w:sz w:val="24"/>
              </w:rPr>
            </w:pPr>
            <w:r>
              <w:rPr>
                <w:rFonts w:hint="eastAsia" w:ascii="仿宋" w:hAnsi="仿宋" w:eastAsia="仿宋"/>
                <w:sz w:val="24"/>
              </w:rPr>
              <w:t>优于招标文件实质性要求的，每有</w:t>
            </w:r>
            <w:r>
              <w:rPr>
                <w:rFonts w:ascii="仿宋" w:hAnsi="仿宋" w:eastAsia="仿宋"/>
                <w:sz w:val="24"/>
              </w:rPr>
              <w:t>1</w:t>
            </w:r>
            <w:r>
              <w:rPr>
                <w:rFonts w:hint="eastAsia" w:ascii="仿宋" w:hAnsi="仿宋" w:eastAsia="仿宋"/>
                <w:sz w:val="24"/>
              </w:rPr>
              <w:t>条加</w:t>
            </w:r>
            <w:r>
              <w:rPr>
                <w:rFonts w:ascii="仿宋" w:hAnsi="仿宋" w:eastAsia="仿宋"/>
                <w:sz w:val="24"/>
              </w:rPr>
              <w:t>1</w:t>
            </w:r>
            <w:r>
              <w:rPr>
                <w:rFonts w:hint="eastAsia" w:ascii="仿宋" w:hAnsi="仿宋" w:eastAsia="仿宋"/>
                <w:sz w:val="24"/>
              </w:rPr>
              <w:t>分，最高加</w:t>
            </w:r>
            <w:r>
              <w:rPr>
                <w:rFonts w:ascii="仿宋" w:hAnsi="仿宋" w:eastAsia="仿宋"/>
                <w:sz w:val="24"/>
              </w:rPr>
              <w:t>2</w:t>
            </w:r>
            <w:r>
              <w:rPr>
                <w:rFonts w:hint="eastAsia" w:ascii="仿宋" w:hAnsi="仿宋" w:eastAsia="仿宋"/>
                <w:sz w:val="24"/>
              </w:rPr>
              <w:t>分；对非实质性要求，每出现</w:t>
            </w:r>
            <w:r>
              <w:rPr>
                <w:rFonts w:ascii="仿宋" w:hAnsi="仿宋" w:eastAsia="仿宋"/>
                <w:sz w:val="24"/>
              </w:rPr>
              <w:t>1</w:t>
            </w:r>
            <w:r>
              <w:rPr>
                <w:rFonts w:hint="eastAsia" w:ascii="仿宋" w:hAnsi="仿宋" w:eastAsia="仿宋"/>
                <w:sz w:val="24"/>
              </w:rPr>
              <w:t>条正偏离，加</w:t>
            </w:r>
            <w:r>
              <w:rPr>
                <w:rFonts w:ascii="仿宋" w:hAnsi="仿宋" w:eastAsia="仿宋"/>
                <w:sz w:val="24"/>
              </w:rPr>
              <w:t>0.5</w:t>
            </w:r>
            <w:r>
              <w:rPr>
                <w:rFonts w:hint="eastAsia" w:ascii="仿宋" w:hAnsi="仿宋" w:eastAsia="仿宋"/>
                <w:sz w:val="24"/>
              </w:rPr>
              <w:t>分，最高加</w:t>
            </w:r>
            <w:r>
              <w:rPr>
                <w:rFonts w:ascii="仿宋" w:hAnsi="仿宋" w:eastAsia="仿宋"/>
                <w:sz w:val="24"/>
              </w:rPr>
              <w:t>2</w:t>
            </w:r>
            <w:r>
              <w:rPr>
                <w:rFonts w:hint="eastAsia" w:ascii="仿宋" w:hAnsi="仿宋" w:eastAsia="仿宋"/>
                <w:sz w:val="24"/>
              </w:rPr>
              <w:t>分。</w:t>
            </w:r>
          </w:p>
          <w:p>
            <w:pPr>
              <w:spacing w:after="156" w:afterLines="50"/>
              <w:rPr>
                <w:rFonts w:ascii="仿宋" w:hAnsi="仿宋" w:eastAsia="仿宋"/>
                <w:sz w:val="24"/>
              </w:rPr>
            </w:pPr>
            <w:r>
              <w:rPr>
                <w:rFonts w:hint="eastAsia" w:ascii="仿宋" w:hAnsi="仿宋" w:eastAsia="仿宋"/>
                <w:sz w:val="24"/>
              </w:rPr>
              <w:t>每出现</w:t>
            </w:r>
            <w:r>
              <w:rPr>
                <w:rFonts w:ascii="仿宋" w:hAnsi="仿宋" w:eastAsia="仿宋"/>
                <w:sz w:val="24"/>
              </w:rPr>
              <w:t>1</w:t>
            </w:r>
            <w:r>
              <w:rPr>
                <w:rFonts w:hint="eastAsia" w:ascii="仿宋" w:hAnsi="仿宋" w:eastAsia="仿宋"/>
                <w:sz w:val="24"/>
              </w:rPr>
              <w:t>条负偏离，扣除基础分</w:t>
            </w:r>
            <w:r>
              <w:rPr>
                <w:rFonts w:ascii="仿宋" w:hAnsi="仿宋" w:eastAsia="仿宋"/>
                <w:sz w:val="24"/>
              </w:rPr>
              <w:t>2</w:t>
            </w:r>
            <w:r>
              <w:rPr>
                <w:rFonts w:hint="eastAsia" w:ascii="仿宋" w:hAnsi="仿宋" w:eastAsia="仿宋"/>
                <w:sz w:val="24"/>
              </w:rPr>
              <w:t>分，带“★”条款出现</w:t>
            </w:r>
            <w:r>
              <w:rPr>
                <w:rFonts w:ascii="仿宋" w:hAnsi="仿宋" w:eastAsia="仿宋"/>
                <w:sz w:val="24"/>
              </w:rPr>
              <w:t>1</w:t>
            </w:r>
            <w:r>
              <w:rPr>
                <w:rFonts w:hint="eastAsia" w:ascii="仿宋" w:hAnsi="仿宋" w:eastAsia="仿宋"/>
                <w:sz w:val="24"/>
              </w:rPr>
              <w:t>条及以上负偏离的，响应情况项不得分。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sz w:val="24"/>
              </w:rPr>
              <w:t>技术方案</w:t>
            </w:r>
          </w:p>
        </w:tc>
        <w:tc>
          <w:tcPr>
            <w:tcW w:w="876" w:type="dxa"/>
            <w:vAlign w:val="center"/>
          </w:tcPr>
          <w:p>
            <w:pPr>
              <w:spacing w:after="156" w:afterLines="50"/>
              <w:rPr>
                <w:rFonts w:ascii="仿宋" w:hAnsi="仿宋" w:eastAsia="仿宋"/>
                <w:sz w:val="24"/>
              </w:rPr>
            </w:pPr>
            <w:r>
              <w:rPr>
                <w:rFonts w:hint="eastAsia" w:ascii="仿宋" w:hAnsi="仿宋" w:eastAsia="仿宋"/>
                <w:sz w:val="24"/>
              </w:rPr>
              <w:t>15分</w:t>
            </w:r>
          </w:p>
        </w:tc>
        <w:tc>
          <w:tcPr>
            <w:tcW w:w="6237" w:type="dxa"/>
          </w:tcPr>
          <w:p>
            <w:pPr>
              <w:spacing w:after="156" w:afterLines="50"/>
              <w:rPr>
                <w:rFonts w:ascii="仿宋" w:hAnsi="仿宋" w:eastAsia="仿宋"/>
                <w:sz w:val="24"/>
              </w:rPr>
            </w:pPr>
            <w:r>
              <w:rPr>
                <w:rFonts w:hint="eastAsia" w:ascii="仿宋" w:hAnsi="仿宋" w:eastAsia="仿宋"/>
                <w:sz w:val="24"/>
              </w:rPr>
              <w:t>投标人对本项目提出的测试方案先进，措施得力的，优得4分，良得3-2分，一般得1分；</w:t>
            </w:r>
          </w:p>
          <w:p>
            <w:pPr>
              <w:spacing w:after="156" w:afterLines="50"/>
              <w:rPr>
                <w:rFonts w:ascii="仿宋" w:hAnsi="仿宋" w:eastAsia="仿宋"/>
                <w:sz w:val="24"/>
              </w:rPr>
            </w:pPr>
            <w:r>
              <w:rPr>
                <w:rFonts w:hint="eastAsia" w:ascii="仿宋" w:hAnsi="仿宋" w:eastAsia="仿宋"/>
                <w:sz w:val="24"/>
              </w:rPr>
              <w:t>投标人针对本项目工作流程合理，衔接得当的，优得4分，良得3-2分，一般得1分；</w:t>
            </w:r>
          </w:p>
          <w:p>
            <w:pPr>
              <w:spacing w:after="156" w:afterLines="50"/>
              <w:rPr>
                <w:rFonts w:ascii="仿宋" w:hAnsi="仿宋" w:eastAsia="仿宋"/>
                <w:sz w:val="24"/>
              </w:rPr>
            </w:pPr>
            <w:r>
              <w:rPr>
                <w:rFonts w:hint="eastAsia" w:ascii="仿宋" w:hAnsi="仿宋" w:eastAsia="仿宋"/>
                <w:sz w:val="24"/>
              </w:rPr>
              <w:t>投标人针对本项目组织方案良好，组织措施得力的，得2-1分。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color w:val="000000"/>
                <w:sz w:val="24"/>
              </w:rPr>
            </w:pPr>
            <w:r>
              <w:rPr>
                <w:rFonts w:hint="eastAsia" w:ascii="仿宋" w:hAnsi="仿宋" w:eastAsia="仿宋"/>
                <w:color w:val="000000"/>
                <w:sz w:val="24"/>
                <w:lang w:val="zh-CN"/>
              </w:rPr>
              <w:t>带宽峰值</w:t>
            </w:r>
          </w:p>
        </w:tc>
        <w:tc>
          <w:tcPr>
            <w:tcW w:w="876" w:type="dxa"/>
            <w:vAlign w:val="center"/>
          </w:tcPr>
          <w:p>
            <w:pPr>
              <w:spacing w:after="156" w:afterLines="50"/>
              <w:rPr>
                <w:rFonts w:ascii="仿宋" w:hAnsi="仿宋" w:eastAsia="仿宋"/>
                <w:sz w:val="24"/>
              </w:rPr>
            </w:pPr>
            <w:r>
              <w:rPr>
                <w:rFonts w:hint="eastAsia" w:ascii="仿宋" w:hAnsi="仿宋" w:eastAsia="仿宋"/>
                <w:color w:val="000000"/>
                <w:sz w:val="24"/>
              </w:rPr>
              <w:t>1</w:t>
            </w:r>
            <w:r>
              <w:rPr>
                <w:rFonts w:ascii="仿宋" w:hAnsi="仿宋" w:eastAsia="仿宋"/>
                <w:color w:val="000000"/>
                <w:sz w:val="24"/>
              </w:rPr>
              <w:t>0</w:t>
            </w:r>
            <w:r>
              <w:rPr>
                <w:rFonts w:hint="eastAsia" w:ascii="仿宋" w:hAnsi="仿宋" w:eastAsia="仿宋"/>
                <w:color w:val="000000"/>
                <w:sz w:val="24"/>
              </w:rPr>
              <w:t>分</w:t>
            </w:r>
          </w:p>
        </w:tc>
        <w:tc>
          <w:tcPr>
            <w:tcW w:w="6237" w:type="dxa"/>
          </w:tcPr>
          <w:p>
            <w:pPr>
              <w:spacing w:after="156" w:afterLines="50"/>
              <w:rPr>
                <w:rFonts w:ascii="仿宋" w:hAnsi="仿宋" w:eastAsia="仿宋"/>
                <w:color w:val="000000"/>
                <w:sz w:val="24"/>
                <w:lang w:val="zh-CN"/>
              </w:rPr>
            </w:pPr>
            <w:r>
              <w:rPr>
                <w:rFonts w:hint="eastAsia" w:ascii="仿宋" w:hAnsi="仿宋" w:eastAsia="仿宋"/>
                <w:color w:val="000000"/>
                <w:sz w:val="24"/>
                <w:lang w:val="zh-CN"/>
              </w:rPr>
              <w:t>根据承诺的最高和最低峰值进行综合评判，由高至低得10-1分。</w:t>
            </w:r>
          </w:p>
          <w:p>
            <w:pPr>
              <w:spacing w:after="156" w:afterLines="50"/>
              <w:rPr>
                <w:rFonts w:ascii="仿宋" w:hAnsi="仿宋" w:eastAsia="仿宋"/>
                <w:color w:val="000000"/>
                <w:sz w:val="24"/>
              </w:rPr>
            </w:pPr>
            <w:r>
              <w:rPr>
                <w:rFonts w:hint="eastAsia" w:ascii="仿宋" w:hAnsi="仿宋" w:eastAsia="仿宋"/>
                <w:color w:val="000000"/>
                <w:sz w:val="24"/>
                <w:lang w:val="zh-CN"/>
              </w:rPr>
              <w:t>其中，网络忙时的最低峰值如果低于900M，则不得分。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color w:val="000000"/>
                <w:sz w:val="24"/>
              </w:rPr>
            </w:pPr>
            <w:r>
              <w:rPr>
                <w:rFonts w:hint="eastAsia" w:ascii="仿宋" w:hAnsi="仿宋" w:eastAsia="仿宋"/>
                <w:sz w:val="24"/>
              </w:rPr>
              <w:t>服务保证</w:t>
            </w:r>
          </w:p>
        </w:tc>
        <w:tc>
          <w:tcPr>
            <w:tcW w:w="876" w:type="dxa"/>
            <w:vAlign w:val="center"/>
          </w:tcPr>
          <w:p>
            <w:pPr>
              <w:spacing w:after="156" w:afterLines="50"/>
              <w:rPr>
                <w:rFonts w:ascii="仿宋" w:hAnsi="仿宋" w:eastAsia="仿宋"/>
                <w:sz w:val="24"/>
              </w:rPr>
            </w:pPr>
            <w:r>
              <w:rPr>
                <w:rFonts w:ascii="仿宋" w:hAnsi="仿宋" w:eastAsia="仿宋"/>
                <w:sz w:val="24"/>
              </w:rPr>
              <w:t>10</w:t>
            </w:r>
            <w:r>
              <w:rPr>
                <w:rFonts w:hint="eastAsia" w:ascii="仿宋" w:hAnsi="仿宋" w:eastAsia="仿宋"/>
                <w:sz w:val="24"/>
              </w:rPr>
              <w:t>分</w:t>
            </w:r>
          </w:p>
        </w:tc>
        <w:tc>
          <w:tcPr>
            <w:tcW w:w="6237" w:type="dxa"/>
          </w:tcPr>
          <w:p>
            <w:pPr>
              <w:spacing w:after="156" w:afterLines="50"/>
              <w:rPr>
                <w:rFonts w:ascii="仿宋" w:hAnsi="仿宋" w:eastAsia="仿宋"/>
                <w:color w:val="000000"/>
                <w:sz w:val="24"/>
              </w:rPr>
            </w:pPr>
            <w:r>
              <w:rPr>
                <w:rFonts w:hint="eastAsia" w:ascii="仿宋" w:hAnsi="仿宋" w:eastAsia="仿宋"/>
                <w:sz w:val="24"/>
                <w:lang w:val="zh-CN"/>
              </w:rPr>
              <w:t>对投标人处置网络故障的应急预案（</w:t>
            </w:r>
            <w:r>
              <w:rPr>
                <w:rFonts w:ascii="仿宋" w:hAnsi="仿宋" w:eastAsia="仿宋"/>
                <w:sz w:val="24"/>
              </w:rPr>
              <w:t>2-1</w:t>
            </w:r>
            <w:r>
              <w:rPr>
                <w:rFonts w:hint="eastAsia" w:ascii="仿宋" w:hAnsi="仿宋" w:eastAsia="仿宋"/>
                <w:sz w:val="24"/>
                <w:lang w:val="zh-CN"/>
              </w:rPr>
              <w:t>分）、响应时间（</w:t>
            </w:r>
            <w:r>
              <w:rPr>
                <w:rFonts w:ascii="仿宋" w:hAnsi="仿宋" w:eastAsia="仿宋"/>
                <w:sz w:val="24"/>
              </w:rPr>
              <w:t>4-1</w:t>
            </w:r>
            <w:r>
              <w:rPr>
                <w:rFonts w:hint="eastAsia" w:ascii="仿宋" w:hAnsi="仿宋" w:eastAsia="仿宋"/>
                <w:sz w:val="24"/>
                <w:lang w:val="zh-CN"/>
              </w:rPr>
              <w:t>分）、解决问题的能力（</w:t>
            </w:r>
            <w:r>
              <w:rPr>
                <w:rFonts w:ascii="仿宋" w:hAnsi="仿宋" w:eastAsia="仿宋"/>
                <w:sz w:val="24"/>
              </w:rPr>
              <w:t>2-1</w:t>
            </w:r>
            <w:r>
              <w:rPr>
                <w:rFonts w:hint="eastAsia" w:ascii="仿宋" w:hAnsi="仿宋" w:eastAsia="仿宋"/>
                <w:sz w:val="24"/>
                <w:lang w:val="zh-CN"/>
              </w:rPr>
              <w:t>分）、备品备件（</w:t>
            </w:r>
            <w:r>
              <w:rPr>
                <w:rFonts w:ascii="仿宋" w:hAnsi="仿宋" w:eastAsia="仿宋"/>
                <w:sz w:val="24"/>
              </w:rPr>
              <w:t>2-1</w:t>
            </w:r>
            <w:r>
              <w:rPr>
                <w:rFonts w:hint="eastAsia" w:ascii="仿宋" w:hAnsi="仿宋" w:eastAsia="仿宋"/>
                <w:sz w:val="24"/>
                <w:lang w:val="zh-CN"/>
              </w:rPr>
              <w:t>分）等情况进行评分，得</w:t>
            </w:r>
            <w:r>
              <w:rPr>
                <w:rFonts w:ascii="仿宋" w:hAnsi="仿宋" w:eastAsia="仿宋"/>
                <w:sz w:val="24"/>
              </w:rPr>
              <w:t>10</w:t>
            </w:r>
            <w:r>
              <w:rPr>
                <w:rFonts w:hint="eastAsia" w:ascii="仿宋" w:hAnsi="仿宋" w:eastAsia="仿宋"/>
                <w:sz w:val="24"/>
                <w:lang w:val="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color w:val="000000"/>
                <w:sz w:val="24"/>
              </w:rPr>
              <w:t>服务方案</w:t>
            </w:r>
          </w:p>
        </w:tc>
        <w:tc>
          <w:tcPr>
            <w:tcW w:w="876" w:type="dxa"/>
            <w:vAlign w:val="center"/>
          </w:tcPr>
          <w:p>
            <w:pPr>
              <w:spacing w:after="156" w:afterLines="50"/>
              <w:rPr>
                <w:rFonts w:ascii="仿宋" w:hAnsi="仿宋" w:eastAsia="仿宋"/>
                <w:sz w:val="24"/>
              </w:rPr>
            </w:pPr>
            <w:r>
              <w:rPr>
                <w:rFonts w:hint="eastAsia" w:ascii="仿宋" w:hAnsi="仿宋" w:eastAsia="仿宋"/>
                <w:sz w:val="24"/>
              </w:rPr>
              <w:t>10分</w:t>
            </w:r>
          </w:p>
        </w:tc>
        <w:tc>
          <w:tcPr>
            <w:tcW w:w="6237" w:type="dxa"/>
            <w:vAlign w:val="center"/>
          </w:tcPr>
          <w:p>
            <w:pPr>
              <w:spacing w:after="156" w:afterLines="50"/>
              <w:rPr>
                <w:rFonts w:ascii="仿宋" w:hAnsi="仿宋" w:eastAsia="仿宋"/>
                <w:sz w:val="24"/>
              </w:rPr>
            </w:pPr>
            <w:r>
              <w:rPr>
                <w:rFonts w:hint="eastAsia" w:ascii="仿宋" w:hAnsi="仿宋" w:eastAsia="仿宋"/>
                <w:color w:val="000000"/>
                <w:sz w:val="24"/>
              </w:rPr>
              <w:t>管理科学、服务制度完备的</w:t>
            </w:r>
            <w:r>
              <w:rPr>
                <w:rFonts w:hint="eastAsia" w:ascii="仿宋" w:hAnsi="仿宋" w:eastAsia="仿宋"/>
                <w:sz w:val="24"/>
              </w:rPr>
              <w:t>，优得10-7分，良得7-4分，一般得3分。</w:t>
            </w:r>
          </w:p>
        </w:tc>
      </w:tr>
    </w:tbl>
    <w:p>
      <w:pPr>
        <w:spacing w:after="156" w:afterLines="50"/>
        <w:ind w:firstLine="480" w:firstLineChars="200"/>
        <w:rPr>
          <w:rFonts w:ascii="仿宋" w:hAnsi="仿宋" w:eastAsia="仿宋"/>
          <w:sz w:val="24"/>
        </w:rPr>
      </w:pPr>
      <w:bookmarkStart w:id="11" w:name="_Toc494456851"/>
      <w:r>
        <w:rPr>
          <w:rFonts w:hint="eastAsia" w:ascii="仿宋" w:hAnsi="仿宋" w:eastAsia="仿宋"/>
          <w:sz w:val="24"/>
        </w:rPr>
        <w:t>3</w:t>
      </w:r>
      <w:bookmarkEnd w:id="11"/>
      <w:r>
        <w:rPr>
          <w:rFonts w:hint="eastAsia" w:ascii="仿宋" w:hAnsi="仿宋" w:eastAsia="仿宋"/>
          <w:sz w:val="24"/>
        </w:rPr>
        <w:t>、残疾人就业单位</w:t>
      </w:r>
    </w:p>
    <w:tbl>
      <w:tblPr>
        <w:tblStyle w:val="9"/>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3"/>
        <w:gridCol w:w="80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trPr>
        <w:tc>
          <w:tcPr>
            <w:tcW w:w="1263" w:type="dxa"/>
            <w:tcMar>
              <w:top w:w="100" w:type="dxa"/>
              <w:right w:w="100" w:type="dxa"/>
            </w:tcMar>
            <w:vAlign w:val="center"/>
          </w:tcPr>
          <w:p>
            <w:pPr>
              <w:widowControl/>
              <w:autoSpaceDE w:val="0"/>
              <w:autoSpaceDN w:val="0"/>
              <w:adjustRightInd w:val="0"/>
              <w:spacing w:line="400" w:lineRule="exact"/>
              <w:jc w:val="center"/>
              <w:rPr>
                <w:rStyle w:val="19"/>
                <w:sz w:val="24"/>
              </w:rPr>
            </w:pPr>
            <w:r>
              <w:rPr>
                <w:rStyle w:val="19"/>
                <w:rFonts w:hint="eastAsia"/>
                <w:sz w:val="24"/>
              </w:rPr>
              <w:t>评分因素</w:t>
            </w:r>
          </w:p>
        </w:tc>
        <w:tc>
          <w:tcPr>
            <w:tcW w:w="8059" w:type="dxa"/>
            <w:tcMar>
              <w:top w:w="100" w:type="dxa"/>
              <w:right w:w="100" w:type="dxa"/>
            </w:tcMar>
            <w:vAlign w:val="center"/>
          </w:tcPr>
          <w:p>
            <w:pPr>
              <w:widowControl/>
              <w:autoSpaceDE w:val="0"/>
              <w:autoSpaceDN w:val="0"/>
              <w:adjustRightInd w:val="0"/>
              <w:spacing w:line="400" w:lineRule="exact"/>
              <w:jc w:val="center"/>
              <w:rPr>
                <w:rStyle w:val="19"/>
                <w:sz w:val="24"/>
              </w:rPr>
            </w:pPr>
            <w:r>
              <w:rPr>
                <w:rStyle w:val="19"/>
                <w:rFonts w:hint="eastAsia"/>
                <w:sz w:val="24"/>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63" w:type="dxa"/>
            <w:tcMar>
              <w:top w:w="100" w:type="dxa"/>
              <w:right w:w="100" w:type="dxa"/>
            </w:tcMar>
            <w:vAlign w:val="center"/>
          </w:tcPr>
          <w:p>
            <w:pPr>
              <w:widowControl/>
              <w:autoSpaceDE w:val="0"/>
              <w:autoSpaceDN w:val="0"/>
              <w:adjustRightInd w:val="0"/>
              <w:spacing w:line="400" w:lineRule="exact"/>
              <w:jc w:val="center"/>
              <w:rPr>
                <w:rStyle w:val="19"/>
                <w:sz w:val="24"/>
              </w:rPr>
            </w:pPr>
            <w:r>
              <w:rPr>
                <w:rStyle w:val="19"/>
                <w:rFonts w:hint="eastAsia"/>
                <w:sz w:val="24"/>
              </w:rPr>
              <w:t>残疾人就业单位</w:t>
            </w:r>
          </w:p>
        </w:tc>
        <w:tc>
          <w:tcPr>
            <w:tcW w:w="8059" w:type="dxa"/>
            <w:tcMar>
              <w:top w:w="100" w:type="dxa"/>
              <w:right w:w="100" w:type="dxa"/>
            </w:tcMar>
            <w:vAlign w:val="center"/>
          </w:tcPr>
          <w:p>
            <w:pPr>
              <w:widowControl/>
              <w:autoSpaceDE w:val="0"/>
              <w:autoSpaceDN w:val="0"/>
              <w:adjustRightInd w:val="0"/>
              <w:spacing w:line="400" w:lineRule="exact"/>
              <w:rPr>
                <w:rStyle w:val="19"/>
                <w:sz w:val="24"/>
              </w:rPr>
            </w:pPr>
            <w:r>
              <w:rPr>
                <w:rStyle w:val="19"/>
                <w:rFonts w:hint="eastAsia"/>
                <w:sz w:val="24"/>
              </w:rPr>
              <w:t>一、享受政府采购支持政策的残疾人福利性单位应当同时满足以下条件：</w:t>
            </w:r>
          </w:p>
          <w:p>
            <w:pPr>
              <w:widowControl/>
              <w:autoSpaceDE w:val="0"/>
              <w:autoSpaceDN w:val="0"/>
              <w:adjustRightInd w:val="0"/>
              <w:spacing w:line="400" w:lineRule="exact"/>
              <w:ind w:firstLine="235" w:firstLineChars="98"/>
              <w:rPr>
                <w:rStyle w:val="19"/>
                <w:sz w:val="24"/>
              </w:rPr>
            </w:pPr>
            <w:r>
              <w:rPr>
                <w:rStyle w:val="19"/>
                <w:rFonts w:hint="eastAsia"/>
                <w:sz w:val="24"/>
              </w:rPr>
              <w:t>（一）安置的残疾人占本单位在职职工人数的比例不低于25％（含25％），并且安置的残疾人人數不少于10人（含10人）；</w:t>
            </w:r>
          </w:p>
          <w:p>
            <w:pPr>
              <w:widowControl/>
              <w:autoSpaceDE w:val="0"/>
              <w:autoSpaceDN w:val="0"/>
              <w:adjustRightInd w:val="0"/>
              <w:spacing w:line="400" w:lineRule="exact"/>
              <w:ind w:firstLine="235" w:firstLineChars="98"/>
              <w:rPr>
                <w:rStyle w:val="19"/>
                <w:sz w:val="24"/>
              </w:rPr>
            </w:pPr>
            <w:r>
              <w:rPr>
                <w:rStyle w:val="19"/>
                <w:rFonts w:hint="eastAsia"/>
                <w:sz w:val="24"/>
              </w:rPr>
              <w:t>（二）依法与安置的每位残疾人签订了一年以上（含一年）的劳动合同或服务协议；</w:t>
            </w:r>
          </w:p>
          <w:p>
            <w:pPr>
              <w:widowControl/>
              <w:autoSpaceDE w:val="0"/>
              <w:autoSpaceDN w:val="0"/>
              <w:adjustRightInd w:val="0"/>
              <w:spacing w:line="400" w:lineRule="exact"/>
              <w:ind w:firstLine="235" w:firstLineChars="98"/>
              <w:rPr>
                <w:rStyle w:val="19"/>
                <w:sz w:val="24"/>
              </w:rPr>
            </w:pPr>
            <w:r>
              <w:rPr>
                <w:rStyle w:val="19"/>
                <w:rFonts w:hint="eastAsia"/>
                <w:sz w:val="24"/>
              </w:rPr>
              <w:t>（三）为安置的每位残疾人按月足额缴纳了基本养老保险、基本医疗保险、失业保险、工伤保险和生育保险等社会保险费；</w:t>
            </w:r>
          </w:p>
          <w:p>
            <w:pPr>
              <w:widowControl/>
              <w:autoSpaceDE w:val="0"/>
              <w:autoSpaceDN w:val="0"/>
              <w:adjustRightInd w:val="0"/>
              <w:spacing w:line="400" w:lineRule="exact"/>
              <w:ind w:firstLine="235" w:firstLineChars="98"/>
              <w:rPr>
                <w:rStyle w:val="19"/>
                <w:sz w:val="24"/>
              </w:rPr>
            </w:pPr>
            <w:r>
              <w:rPr>
                <w:rStyle w:val="19"/>
                <w:rFonts w:hint="eastAsia"/>
                <w:sz w:val="24"/>
              </w:rPr>
              <w:t>（四）通过银行等金融机构向安置的每位残疾人，按月支付了不低于单位所在区县适用的经省级人民政府批准的月最低工资标准的工资；</w:t>
            </w:r>
          </w:p>
          <w:p>
            <w:pPr>
              <w:widowControl/>
              <w:autoSpaceDE w:val="0"/>
              <w:autoSpaceDN w:val="0"/>
              <w:adjustRightInd w:val="0"/>
              <w:spacing w:line="400" w:lineRule="exact"/>
              <w:ind w:firstLine="235" w:firstLineChars="98"/>
              <w:rPr>
                <w:rStyle w:val="19"/>
                <w:sz w:val="24"/>
              </w:rPr>
            </w:pPr>
            <w:r>
              <w:rPr>
                <w:rStyle w:val="19"/>
                <w:rFonts w:hint="eastAsia"/>
                <w:sz w:val="24"/>
              </w:rPr>
              <w:t>（五）提供本单位制造的货物、承担的工程或者服务（以下简称产品），或者提供其他残疾人福利性单位制造的货物（不包括使用非残疾人福利性单位注册商标的货物）。</w:t>
            </w:r>
          </w:p>
          <w:p>
            <w:pPr>
              <w:widowControl/>
              <w:autoSpaceDE w:val="0"/>
              <w:autoSpaceDN w:val="0"/>
              <w:adjustRightInd w:val="0"/>
              <w:spacing w:line="400" w:lineRule="exact"/>
              <w:ind w:firstLine="235" w:firstLineChars="98"/>
              <w:rPr>
                <w:rStyle w:val="19"/>
                <w:sz w:val="24"/>
              </w:rPr>
            </w:pPr>
            <w:r>
              <w:rPr>
                <w:rStyle w:val="19"/>
                <w:rFonts w:hint="eastAsia"/>
                <w:sz w:val="24"/>
              </w:rPr>
              <w:t>前款所称残疾人是指法定劳动年龄内，持有《中华人民共和国残疾人证》或者《中华人民共和国残疾军人证（1至8级》的自然人：包括具有劳动条件和劳动意愿的精神戎疾人。在职职工人数是指与残疾人福利性单位建立劳动关系并依法签订劳动合同或者服务协议的雇员人数。</w:t>
            </w:r>
          </w:p>
          <w:p>
            <w:pPr>
              <w:widowControl/>
              <w:autoSpaceDE w:val="0"/>
              <w:autoSpaceDN w:val="0"/>
              <w:adjustRightInd w:val="0"/>
              <w:spacing w:line="400" w:lineRule="exact"/>
              <w:ind w:firstLine="235" w:firstLineChars="98"/>
              <w:jc w:val="left"/>
              <w:rPr>
                <w:rStyle w:val="19"/>
                <w:sz w:val="24"/>
              </w:rPr>
            </w:pPr>
            <w:r>
              <w:rPr>
                <w:rStyle w:val="19"/>
                <w:rFonts w:hint="eastAsia"/>
                <w:sz w:val="24"/>
              </w:rPr>
              <w:t>二、符合条件的戎疾人福利性单位在参加政府采购活动时，应当提供本通知规定的《残疾人福利性单位声明函》（见附件） 并对声明的真实性负责。任何单位或者个人在政府采购活动中均不得要求残疾人福利性单位提供其他证明声明函内容的材料。中标、成交供应商为残疾人福利性单位的：采购人或者其委托的采购代理机构应当慈中标、成交结果同时公告其《戎疾人福利性单位声明函》，接受社会监督。供应商提供的《残疾人福利性单位声明函》与事实不符的，依照《政府采购法》第七十七条第一款的规定追究法律责任。</w:t>
            </w:r>
          </w:p>
          <w:p>
            <w:pPr>
              <w:widowControl/>
              <w:autoSpaceDE w:val="0"/>
              <w:autoSpaceDN w:val="0"/>
              <w:adjustRightInd w:val="0"/>
              <w:spacing w:line="400" w:lineRule="exact"/>
              <w:ind w:firstLine="235" w:firstLineChars="98"/>
              <w:jc w:val="left"/>
              <w:rPr>
                <w:rFonts w:ascii="仿宋" w:hAnsi="仿宋" w:eastAsia="仿宋"/>
                <w:kern w:val="1"/>
                <w:sz w:val="24"/>
              </w:rPr>
            </w:pPr>
            <w:r>
              <w:rPr>
                <w:rFonts w:hint="eastAsia" w:ascii="仿宋" w:hAnsi="仿宋" w:eastAsia="仿宋"/>
                <w:sz w:val="24"/>
              </w:rPr>
              <w:t>三、</w:t>
            </w:r>
            <w:r>
              <w:rPr>
                <w:rStyle w:val="19"/>
                <w:rFonts w:hint="eastAsia"/>
                <w:sz w:val="24"/>
              </w:rPr>
              <w:t>在政府采购活动中，残疾人福利性单位视同小型、微型企业，享受预留份额、评审中价格扣除辞促进中小企业发展的政府采购政策。向残疾人福利性单位采购的金额，计入面向中小企业采购的统计数据。残疾人福利性单位属于小型、微型企业的，不重复享受政策。</w:t>
            </w:r>
          </w:p>
        </w:tc>
      </w:tr>
    </w:tbl>
    <w:p>
      <w:pPr>
        <w:spacing w:line="400" w:lineRule="exact"/>
        <w:ind w:firstLine="480" w:firstLineChars="200"/>
        <w:rPr>
          <w:rFonts w:ascii="仿宋" w:hAnsi="仿宋" w:eastAsia="仿宋"/>
          <w:sz w:val="24"/>
        </w:rPr>
      </w:pPr>
    </w:p>
    <w:p>
      <w:pPr>
        <w:spacing w:line="400" w:lineRule="exact"/>
        <w:rPr>
          <w:rFonts w:ascii="仿宋" w:hAnsi="仿宋" w:eastAsia="仿宋"/>
          <w:sz w:val="24"/>
        </w:rPr>
      </w:pPr>
    </w:p>
    <w:p>
      <w:pPr>
        <w:spacing w:line="400" w:lineRule="exact"/>
        <w:ind w:firstLine="480" w:firstLineChars="200"/>
        <w:rPr>
          <w:rFonts w:ascii="仿宋" w:hAnsi="仿宋" w:eastAsia="仿宋"/>
          <w:sz w:val="24"/>
        </w:rPr>
      </w:pPr>
      <w:r>
        <w:rPr>
          <w:rFonts w:hint="eastAsia" w:ascii="仿宋" w:hAnsi="仿宋" w:eastAsia="仿宋"/>
          <w:sz w:val="24"/>
        </w:rPr>
        <w:t>说明：</w:t>
      </w:r>
    </w:p>
    <w:p>
      <w:pPr>
        <w:spacing w:line="400" w:lineRule="exact"/>
        <w:ind w:firstLine="480"/>
        <w:rPr>
          <w:rFonts w:ascii="仿宋" w:hAnsi="仿宋" w:eastAsia="仿宋"/>
          <w:sz w:val="24"/>
        </w:rPr>
      </w:pPr>
      <w:r>
        <w:rPr>
          <w:rFonts w:hint="eastAsia" w:ascii="仿宋" w:hAnsi="仿宋" w:eastAsia="仿宋"/>
          <w:sz w:val="24"/>
        </w:rPr>
        <w:t>（1）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line="400" w:lineRule="exact"/>
        <w:ind w:firstLine="480"/>
        <w:rPr>
          <w:rFonts w:ascii="仿宋" w:hAnsi="仿宋" w:eastAsia="仿宋"/>
          <w:sz w:val="24"/>
        </w:rPr>
      </w:pPr>
      <w:r>
        <w:rPr>
          <w:rFonts w:hint="eastAsia" w:ascii="仿宋" w:hAnsi="仿宋" w:eastAsia="仿宋"/>
          <w:sz w:val="24"/>
        </w:rPr>
        <w:t>（2）以上评标标准中要求投标人提交相关证明材料原件（或复印件）的，未装订在投标文件中的不得分。</w:t>
      </w:r>
    </w:p>
    <w:p>
      <w:pPr>
        <w:spacing w:line="400" w:lineRule="exact"/>
        <w:ind w:firstLine="480"/>
        <w:rPr>
          <w:rFonts w:ascii="仿宋" w:hAnsi="仿宋" w:eastAsia="仿宋"/>
          <w:sz w:val="24"/>
        </w:rPr>
      </w:pPr>
      <w:r>
        <w:rPr>
          <w:rFonts w:hint="eastAsia" w:ascii="仿宋" w:hAnsi="仿宋" w:eastAsia="仿宋"/>
          <w:sz w:val="24"/>
        </w:rPr>
        <w:t>（3）投标单位以联合体的身份参与政府采购项目的，以商务部分加分最多的一家投标单位的加分为商务部分的加分。</w:t>
      </w:r>
    </w:p>
    <w:p>
      <w:pPr>
        <w:spacing w:line="400" w:lineRule="exact"/>
        <w:ind w:firstLine="480" w:firstLineChars="200"/>
        <w:rPr>
          <w:rFonts w:ascii="仿宋" w:hAnsi="仿宋" w:eastAsia="仿宋"/>
          <w:sz w:val="24"/>
        </w:rPr>
      </w:pPr>
      <w:r>
        <w:rPr>
          <w:rFonts w:hint="eastAsia" w:ascii="仿宋" w:hAnsi="仿宋" w:eastAsia="仿宋"/>
          <w:sz w:val="24"/>
        </w:rPr>
        <w:t>（4）资产负债率=年末负债合计</w:t>
      </w:r>
      <w:r>
        <w:rPr>
          <w:rFonts w:hint="eastAsia" w:ascii="仿宋" w:hAnsi="仿宋" w:eastAsia="仿宋" w:cs="仿宋"/>
          <w:kern w:val="1"/>
          <w:sz w:val="24"/>
        </w:rPr>
        <w:t>÷年末资产总计。</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、给予小型和微型企业价格扣除</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.2.1</w:t>
      </w:r>
      <w:r>
        <w:rPr>
          <w:rFonts w:hint="eastAsia" w:ascii="仿宋" w:hAnsi="仿宋" w:eastAsia="仿宋"/>
          <w:sz w:val="24"/>
        </w:rPr>
        <w:t>、给予小型和微型企业（包括相互之间组成的联合体）产品的价格</w:t>
      </w:r>
      <w:r>
        <w:rPr>
          <w:rFonts w:ascii="仿宋" w:hAnsi="仿宋" w:eastAsia="仿宋"/>
          <w:sz w:val="24"/>
        </w:rPr>
        <w:t>10%</w:t>
      </w:r>
      <w:r>
        <w:rPr>
          <w:rFonts w:hint="eastAsia" w:ascii="仿宋" w:hAnsi="仿宋" w:eastAsia="仿宋"/>
          <w:sz w:val="24"/>
        </w:rPr>
        <w:t>的扣除；计算方法是：</w:t>
      </w:r>
    </w:p>
    <w:p>
      <w:pPr>
        <w:spacing w:line="400" w:lineRule="exact"/>
        <w:ind w:firstLine="480" w:firstLineChars="200"/>
        <w:rPr>
          <w:rFonts w:ascii="仿宋" w:hAnsi="仿宋" w:eastAsia="仿宋"/>
          <w:sz w:val="24"/>
        </w:rPr>
      </w:pPr>
      <w:r>
        <w:rPr>
          <w:rFonts w:hint="eastAsia" w:ascii="仿宋" w:hAnsi="仿宋" w:eastAsia="仿宋"/>
          <w:sz w:val="24"/>
        </w:rPr>
        <w:t>最终价格＝投标报价×</w:t>
      </w:r>
      <w:r>
        <w:rPr>
          <w:rFonts w:ascii="仿宋" w:hAnsi="仿宋" w:eastAsia="仿宋"/>
          <w:sz w:val="24"/>
        </w:rPr>
        <w:t>90%</w:t>
      </w:r>
      <w:r>
        <w:rPr>
          <w:rFonts w:hint="eastAsia" w:ascii="仿宋" w:hAnsi="仿宋" w:eastAsia="仿宋"/>
          <w:sz w:val="24"/>
        </w:rPr>
        <w:t>，按照最终价格计算其价格分得分。</w:t>
      </w:r>
    </w:p>
    <w:p>
      <w:pPr>
        <w:spacing w:line="400" w:lineRule="exact"/>
        <w:ind w:firstLine="480" w:firstLineChars="200"/>
        <w:rPr>
          <w:rFonts w:ascii="仿宋" w:hAnsi="仿宋" w:eastAsia="仿宋"/>
          <w:sz w:val="24"/>
        </w:rPr>
      </w:pPr>
      <w:r>
        <w:rPr>
          <w:rFonts w:hint="eastAsia" w:ascii="仿宋" w:hAnsi="仿宋" w:eastAsia="仿宋"/>
          <w:sz w:val="24"/>
        </w:rPr>
        <w:t>开标时，投标人须提供《中小企业声明函》原件并对声明函的真实性负责，否则不给予价格扣除。</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.2.2</w:t>
      </w:r>
      <w:r>
        <w:rPr>
          <w:rFonts w:hint="eastAsia" w:ascii="仿宋" w:hAnsi="仿宋" w:eastAsia="仿宋"/>
          <w:sz w:val="24"/>
        </w:rPr>
        <w:t>、大中型企业和其他自然人、法人或者其他组织与小型、微型企业组成联合体投标，联合协议中约定，小型、微型企业的协议合同金额占到联合体协议合同金额</w:t>
      </w:r>
      <w:r>
        <w:rPr>
          <w:rFonts w:ascii="仿宋" w:hAnsi="仿宋" w:eastAsia="仿宋"/>
          <w:sz w:val="24"/>
        </w:rPr>
        <w:t>30%</w:t>
      </w:r>
      <w:r>
        <w:rPr>
          <w:rFonts w:hint="eastAsia" w:ascii="仿宋" w:hAnsi="仿宋" w:eastAsia="仿宋"/>
          <w:sz w:val="24"/>
        </w:rPr>
        <w:t>以上的，可给予联合体</w:t>
      </w:r>
      <w:r>
        <w:rPr>
          <w:rFonts w:ascii="仿宋" w:hAnsi="仿宋" w:eastAsia="仿宋"/>
          <w:sz w:val="24"/>
        </w:rPr>
        <w:t>3%</w:t>
      </w:r>
      <w:r>
        <w:rPr>
          <w:rFonts w:hint="eastAsia" w:ascii="仿宋" w:hAnsi="仿宋" w:eastAsia="仿宋"/>
          <w:sz w:val="24"/>
        </w:rPr>
        <w:t>的价格扣除。计算方法是：</w:t>
      </w:r>
    </w:p>
    <w:p>
      <w:pPr>
        <w:spacing w:line="400" w:lineRule="exact"/>
        <w:ind w:firstLine="480" w:firstLineChars="200"/>
        <w:rPr>
          <w:rFonts w:ascii="仿宋" w:hAnsi="仿宋" w:eastAsia="仿宋"/>
          <w:sz w:val="24"/>
        </w:rPr>
      </w:pPr>
      <w:r>
        <w:rPr>
          <w:rFonts w:hint="eastAsia" w:ascii="仿宋" w:hAnsi="仿宋" w:eastAsia="仿宋"/>
          <w:sz w:val="24"/>
        </w:rPr>
        <w:t>最终价格＝投标报价×</w:t>
      </w:r>
      <w:r>
        <w:rPr>
          <w:rFonts w:ascii="仿宋" w:hAnsi="仿宋" w:eastAsia="仿宋"/>
          <w:sz w:val="24"/>
        </w:rPr>
        <w:t>97%</w:t>
      </w:r>
      <w:r>
        <w:rPr>
          <w:rFonts w:hint="eastAsia" w:ascii="仿宋" w:hAnsi="仿宋" w:eastAsia="仿宋"/>
          <w:sz w:val="24"/>
        </w:rPr>
        <w:t>，按照最终价格计算其价格分得分。</w:t>
      </w:r>
    </w:p>
    <w:p>
      <w:pPr>
        <w:spacing w:line="400" w:lineRule="exact"/>
        <w:ind w:firstLine="480" w:firstLineChars="200"/>
        <w:rPr>
          <w:rFonts w:ascii="仿宋" w:hAnsi="仿宋" w:eastAsia="仿宋"/>
          <w:sz w:val="24"/>
        </w:rPr>
      </w:pPr>
      <w:r>
        <w:rPr>
          <w:rFonts w:hint="eastAsia" w:ascii="仿宋" w:hAnsi="仿宋" w:eastAsia="仿宋"/>
          <w:sz w:val="24"/>
        </w:rPr>
        <w:t>开标时，投标人须提供《中小企业声明函》原件并对声明函的真实性负责和联合体协议原件。</w:t>
      </w:r>
    </w:p>
    <w:p>
      <w:pPr>
        <w:pStyle w:val="8"/>
        <w:rPr>
          <w:rFonts w:ascii="黑体" w:hAnsi="黑体" w:eastAsia="黑体"/>
          <w:sz w:val="28"/>
          <w:szCs w:val="28"/>
        </w:rPr>
      </w:pPr>
      <w:r>
        <w:rPr>
          <w:sz w:val="24"/>
        </w:rPr>
        <w:br w:type="page"/>
      </w:r>
      <w:bookmarkStart w:id="12" w:name="_Toc13852957"/>
      <w:bookmarkStart w:id="13" w:name="_Toc436169011"/>
      <w:bookmarkStart w:id="14" w:name="_Toc518288101"/>
      <w:bookmarkStart w:id="15" w:name="_Toc13853048"/>
      <w:r>
        <w:t>第</w:t>
      </w:r>
      <w:r>
        <w:rPr>
          <w:rFonts w:hint="eastAsia"/>
        </w:rPr>
        <w:t>五</w:t>
      </w:r>
      <w:r>
        <w:t>章</w:t>
      </w:r>
      <w:r>
        <w:rPr>
          <w:rFonts w:hint="eastAsia"/>
        </w:rPr>
        <w:t xml:space="preserve"> 投标人须知</w:t>
      </w:r>
      <w:bookmarkEnd w:id="12"/>
      <w:bookmarkEnd w:id="13"/>
      <w:bookmarkEnd w:id="14"/>
      <w:bookmarkEnd w:id="15"/>
    </w:p>
    <w:p>
      <w:pPr>
        <w:spacing w:line="400" w:lineRule="exact"/>
        <w:ind w:firstLine="560" w:firstLineChars="200"/>
        <w:jc w:val="center"/>
        <w:rPr>
          <w:rFonts w:ascii="黑体" w:hAnsi="黑体" w:eastAsia="黑体"/>
          <w:sz w:val="28"/>
          <w:szCs w:val="28"/>
        </w:rPr>
      </w:pPr>
    </w:p>
    <w:p>
      <w:pPr>
        <w:spacing w:line="360" w:lineRule="auto"/>
        <w:ind w:firstLine="480" w:firstLineChars="200"/>
        <w:outlineLvl w:val="1"/>
        <w:rPr>
          <w:rFonts w:ascii="仿宋" w:hAnsi="仿宋" w:eastAsia="仿宋"/>
          <w:sz w:val="24"/>
        </w:rPr>
      </w:pPr>
      <w:bookmarkStart w:id="16" w:name="_Toc518288102"/>
      <w:bookmarkStart w:id="17" w:name="_Toc436169012"/>
      <w:r>
        <w:rPr>
          <w:rFonts w:hint="eastAsia" w:ascii="仿宋" w:hAnsi="仿宋" w:eastAsia="仿宋"/>
          <w:sz w:val="24"/>
        </w:rPr>
        <w:t>一、招标依据以及原则</w:t>
      </w:r>
      <w:bookmarkEnd w:id="16"/>
      <w:bookmarkEnd w:id="17"/>
    </w:p>
    <w:p>
      <w:pPr>
        <w:spacing w:line="360" w:lineRule="auto"/>
        <w:ind w:firstLine="480" w:firstLineChars="200"/>
        <w:rPr>
          <w:rFonts w:ascii="仿宋" w:hAnsi="仿宋" w:eastAsia="仿宋"/>
          <w:sz w:val="24"/>
        </w:rPr>
      </w:pPr>
      <w:r>
        <w:rPr>
          <w:rFonts w:hint="eastAsia" w:ascii="仿宋" w:hAnsi="仿宋" w:eastAsia="仿宋"/>
          <w:sz w:val="24"/>
        </w:rPr>
        <w:t>1、《中华人民共和国政府采购法》；</w:t>
      </w:r>
    </w:p>
    <w:p>
      <w:pPr>
        <w:spacing w:line="360" w:lineRule="auto"/>
        <w:ind w:firstLine="480" w:firstLineChars="200"/>
        <w:rPr>
          <w:rFonts w:ascii="仿宋" w:hAnsi="仿宋" w:eastAsia="仿宋"/>
          <w:sz w:val="24"/>
        </w:rPr>
      </w:pPr>
      <w:r>
        <w:rPr>
          <w:rFonts w:hint="eastAsia" w:ascii="仿宋" w:hAnsi="仿宋" w:eastAsia="仿宋"/>
          <w:sz w:val="24"/>
        </w:rPr>
        <w:t>2、《中华人民共和国合同法》；</w:t>
      </w:r>
    </w:p>
    <w:p>
      <w:pPr>
        <w:spacing w:line="360" w:lineRule="auto"/>
        <w:ind w:firstLine="480" w:firstLineChars="200"/>
        <w:rPr>
          <w:rFonts w:ascii="仿宋" w:hAnsi="仿宋" w:eastAsia="仿宋"/>
          <w:sz w:val="24"/>
        </w:rPr>
      </w:pPr>
      <w:r>
        <w:rPr>
          <w:rFonts w:hint="eastAsia" w:ascii="仿宋" w:hAnsi="仿宋" w:eastAsia="仿宋"/>
          <w:sz w:val="24"/>
        </w:rPr>
        <w:t>3、《中华人民共和国政府采购法实施条例》；</w:t>
      </w:r>
    </w:p>
    <w:p>
      <w:pPr>
        <w:spacing w:line="360" w:lineRule="auto"/>
        <w:ind w:firstLine="480" w:firstLineChars="200"/>
        <w:rPr>
          <w:rFonts w:ascii="仿宋" w:hAnsi="仿宋" w:eastAsia="仿宋"/>
          <w:sz w:val="24"/>
        </w:rPr>
      </w:pPr>
      <w:r>
        <w:rPr>
          <w:rFonts w:hint="eastAsia" w:ascii="仿宋" w:hAnsi="仿宋" w:eastAsia="仿宋"/>
          <w:sz w:val="24"/>
        </w:rPr>
        <w:t>4、《政府采购货物和服务招标投标管理办法》；</w:t>
      </w:r>
    </w:p>
    <w:p>
      <w:pPr>
        <w:spacing w:line="360" w:lineRule="auto"/>
        <w:ind w:firstLine="480" w:firstLineChars="200"/>
        <w:rPr>
          <w:rFonts w:ascii="仿宋" w:hAnsi="仿宋" w:eastAsia="仿宋"/>
          <w:sz w:val="24"/>
        </w:rPr>
      </w:pPr>
      <w:r>
        <w:rPr>
          <w:rFonts w:hint="eastAsia" w:ascii="仿宋" w:hAnsi="仿宋" w:eastAsia="仿宋"/>
          <w:sz w:val="24"/>
        </w:rPr>
        <w:t>5、《政府采购供应商投诉处理办法》；</w:t>
      </w:r>
    </w:p>
    <w:p>
      <w:pPr>
        <w:spacing w:line="360" w:lineRule="auto"/>
        <w:ind w:firstLine="480" w:firstLineChars="200"/>
        <w:rPr>
          <w:rFonts w:ascii="仿宋" w:hAnsi="仿宋" w:eastAsia="仿宋"/>
          <w:sz w:val="24"/>
        </w:rPr>
      </w:pPr>
      <w:r>
        <w:rPr>
          <w:rFonts w:hint="eastAsia" w:ascii="仿宋" w:hAnsi="仿宋" w:eastAsia="仿宋"/>
          <w:sz w:val="24"/>
        </w:rPr>
        <w:t>6、《山东省政府采购管理办法》；</w:t>
      </w:r>
    </w:p>
    <w:p>
      <w:pPr>
        <w:spacing w:line="360" w:lineRule="auto"/>
        <w:ind w:firstLine="480" w:firstLineChars="200"/>
        <w:rPr>
          <w:rFonts w:ascii="仿宋" w:hAnsi="仿宋" w:eastAsia="仿宋"/>
          <w:sz w:val="24"/>
        </w:rPr>
      </w:pPr>
      <w:r>
        <w:rPr>
          <w:rFonts w:hint="eastAsia" w:ascii="仿宋" w:hAnsi="仿宋" w:eastAsia="仿宋"/>
          <w:sz w:val="24"/>
        </w:rPr>
        <w:t>7、其他有关法律、行政法规以及省市规范性文件规定。</w:t>
      </w:r>
    </w:p>
    <w:p>
      <w:pPr>
        <w:spacing w:line="360" w:lineRule="auto"/>
        <w:ind w:firstLine="480" w:firstLineChars="200"/>
        <w:outlineLvl w:val="1"/>
        <w:rPr>
          <w:rFonts w:ascii="仿宋" w:hAnsi="仿宋" w:eastAsia="仿宋"/>
          <w:sz w:val="24"/>
        </w:rPr>
      </w:pPr>
      <w:bookmarkStart w:id="18" w:name="_Toc436169013"/>
      <w:bookmarkStart w:id="19" w:name="_Toc518288103"/>
      <w:r>
        <w:rPr>
          <w:rFonts w:hint="eastAsia" w:ascii="仿宋" w:hAnsi="仿宋" w:eastAsia="仿宋"/>
          <w:sz w:val="24"/>
        </w:rPr>
        <w:t>二、合格的投标人</w:t>
      </w:r>
      <w:bookmarkEnd w:id="18"/>
      <w:bookmarkEnd w:id="19"/>
    </w:p>
    <w:p>
      <w:pPr>
        <w:spacing w:line="360" w:lineRule="auto"/>
        <w:ind w:firstLine="480" w:firstLineChars="200"/>
        <w:rPr>
          <w:rFonts w:ascii="仿宋" w:hAnsi="仿宋" w:eastAsia="仿宋"/>
          <w:sz w:val="24"/>
        </w:rPr>
      </w:pPr>
      <w:r>
        <w:rPr>
          <w:rFonts w:hint="eastAsia" w:ascii="仿宋" w:hAnsi="仿宋" w:eastAsia="仿宋"/>
          <w:sz w:val="24"/>
        </w:rPr>
        <w:t>1、符合《中华人民共和国政府采购法》第二十二条规定的条件；</w:t>
      </w:r>
    </w:p>
    <w:p>
      <w:pPr>
        <w:spacing w:line="360" w:lineRule="auto"/>
        <w:ind w:firstLine="480" w:firstLineChars="200"/>
        <w:rPr>
          <w:rFonts w:ascii="仿宋" w:hAnsi="仿宋" w:eastAsia="仿宋"/>
          <w:sz w:val="24"/>
        </w:rPr>
      </w:pPr>
      <w:r>
        <w:rPr>
          <w:rFonts w:hint="eastAsia" w:ascii="仿宋" w:hAnsi="仿宋" w:eastAsia="仿宋"/>
          <w:sz w:val="24"/>
        </w:rPr>
        <w:t>2、符合本招标文件规定的资格要求，且按照要求提供相关证明材料；</w:t>
      </w:r>
    </w:p>
    <w:p>
      <w:pPr>
        <w:spacing w:line="360" w:lineRule="auto"/>
        <w:ind w:firstLine="480" w:firstLineChars="200"/>
        <w:rPr>
          <w:rFonts w:ascii="仿宋" w:hAnsi="仿宋" w:eastAsia="仿宋"/>
          <w:sz w:val="24"/>
        </w:rPr>
      </w:pPr>
      <w:r>
        <w:rPr>
          <w:rFonts w:hint="eastAsia" w:ascii="仿宋" w:hAnsi="仿宋" w:eastAsia="仿宋"/>
          <w:sz w:val="24"/>
        </w:rPr>
        <w:t>3、单位负责人为同一个人的两个以及两个以上法人，母公司、全资子公司以及其控股公司或者存在管理关系的不同单位，都不得在同一包或者未划分包的同一招标项目同时投标；</w:t>
      </w:r>
    </w:p>
    <w:p>
      <w:pPr>
        <w:spacing w:line="360" w:lineRule="auto"/>
        <w:ind w:firstLine="480" w:firstLineChars="200"/>
        <w:rPr>
          <w:rFonts w:ascii="仿宋" w:hAnsi="仿宋" w:eastAsia="仿宋"/>
          <w:sz w:val="24"/>
        </w:rPr>
      </w:pPr>
      <w:r>
        <w:rPr>
          <w:rFonts w:hint="eastAsia" w:ascii="仿宋" w:hAnsi="仿宋" w:eastAsia="仿宋"/>
          <w:sz w:val="24"/>
        </w:rPr>
        <w:t>4、投标人须知规定接受联合体投标的，应符合以下规定：</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.1</w:t>
      </w:r>
      <w:r>
        <w:rPr>
          <w:rFonts w:hint="eastAsia" w:ascii="仿宋" w:hAnsi="仿宋" w:eastAsia="仿宋"/>
          <w:sz w:val="24"/>
        </w:rPr>
        <w:t>、联合体各方应按照招标文件提供的格式签订联合体协议书，明确联合体牵头人和各方权利义务；</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.2</w:t>
      </w:r>
      <w:r>
        <w:rPr>
          <w:rFonts w:hint="eastAsia" w:ascii="仿宋" w:hAnsi="仿宋" w:eastAsia="仿宋"/>
          <w:sz w:val="24"/>
        </w:rPr>
        <w:t>、联合体各方均应当符合《政府采购法》第二十二条第一款规定的条件；</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.3</w:t>
      </w:r>
      <w:r>
        <w:rPr>
          <w:rFonts w:hint="eastAsia" w:ascii="仿宋" w:hAnsi="仿宋" w:eastAsia="仿宋"/>
          <w:sz w:val="24"/>
        </w:rPr>
        <w:t>、联合体中有同类资质的投标人按照联合体分工承担相同工作的，应当按照资质等级较低的投标人确定资质等级。</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.4</w:t>
      </w:r>
      <w:r>
        <w:rPr>
          <w:rFonts w:hint="eastAsia" w:ascii="仿宋" w:hAnsi="仿宋" w:eastAsia="仿宋"/>
          <w:sz w:val="24"/>
        </w:rPr>
        <w:t>、以联合体形式参加采购活动的，联合体各方不得再单独参加或者与其他投标人另外组成联合体参加同一合同项下的采购活动。</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.5</w:t>
      </w:r>
      <w:r>
        <w:rPr>
          <w:rFonts w:hint="eastAsia" w:ascii="仿宋" w:hAnsi="仿宋" w:eastAsia="仿宋"/>
          <w:sz w:val="24"/>
        </w:rPr>
        <w:t>、联合体各方应当共同与招标人签订采购合同，就合同约定的事项对招标人承担连带责任；</w:t>
      </w:r>
    </w:p>
    <w:p>
      <w:pPr>
        <w:spacing w:line="360" w:lineRule="auto"/>
        <w:ind w:firstLine="480" w:firstLineChars="200"/>
        <w:rPr>
          <w:rFonts w:ascii="仿宋" w:hAnsi="仿宋" w:eastAsia="仿宋"/>
          <w:sz w:val="24"/>
        </w:rPr>
      </w:pPr>
      <w:r>
        <w:rPr>
          <w:rFonts w:hint="eastAsia" w:ascii="仿宋" w:hAnsi="仿宋" w:eastAsia="仿宋"/>
          <w:sz w:val="24"/>
        </w:rPr>
        <w:t>5、为本项目提供整体设计、规范编制或者项目管理、监理、检测等服务的投标人，不得再参加本项目的招标活动。</w:t>
      </w:r>
    </w:p>
    <w:p>
      <w:pPr>
        <w:spacing w:line="360" w:lineRule="auto"/>
        <w:ind w:firstLine="480" w:firstLineChars="200"/>
        <w:rPr>
          <w:rFonts w:ascii="仿宋" w:hAnsi="仿宋" w:eastAsia="仿宋"/>
          <w:sz w:val="24"/>
        </w:rPr>
      </w:pPr>
      <w:r>
        <w:rPr>
          <w:rFonts w:hint="eastAsia" w:ascii="仿宋" w:hAnsi="仿宋" w:eastAsia="仿宋"/>
          <w:sz w:val="24"/>
        </w:rPr>
        <w:t>6、投标人提供的证明材料内容必须真实可靠。</w:t>
      </w:r>
    </w:p>
    <w:p>
      <w:pPr>
        <w:spacing w:line="360" w:lineRule="auto"/>
        <w:ind w:firstLine="480" w:firstLineChars="200"/>
        <w:rPr>
          <w:rFonts w:ascii="仿宋" w:hAnsi="仿宋" w:eastAsia="仿宋"/>
          <w:sz w:val="24"/>
        </w:rPr>
      </w:pPr>
      <w:r>
        <w:rPr>
          <w:rFonts w:hint="eastAsia" w:ascii="仿宋" w:hAnsi="仿宋" w:eastAsia="仿宋"/>
          <w:sz w:val="24"/>
        </w:rPr>
        <w:t>符合上述条件的投标人即为合格投标人，具有参与公开招标的资格。</w:t>
      </w:r>
    </w:p>
    <w:p>
      <w:pPr>
        <w:spacing w:line="360" w:lineRule="auto"/>
        <w:ind w:firstLine="480" w:firstLineChars="200"/>
        <w:outlineLvl w:val="1"/>
        <w:rPr>
          <w:rFonts w:ascii="仿宋" w:hAnsi="仿宋" w:eastAsia="仿宋"/>
          <w:sz w:val="24"/>
        </w:rPr>
      </w:pPr>
      <w:bookmarkStart w:id="20" w:name="_Toc436169014"/>
      <w:bookmarkStart w:id="21" w:name="_Toc518288104"/>
      <w:r>
        <w:rPr>
          <w:rFonts w:hint="eastAsia" w:ascii="仿宋" w:hAnsi="仿宋" w:eastAsia="仿宋"/>
          <w:sz w:val="24"/>
        </w:rPr>
        <w:t>三、保密</w:t>
      </w:r>
      <w:bookmarkEnd w:id="20"/>
      <w:bookmarkEnd w:id="21"/>
    </w:p>
    <w:p>
      <w:pPr>
        <w:spacing w:line="360" w:lineRule="auto"/>
        <w:ind w:firstLine="480" w:firstLineChars="200"/>
        <w:rPr>
          <w:rFonts w:ascii="仿宋" w:hAnsi="仿宋" w:eastAsia="仿宋"/>
          <w:sz w:val="24"/>
        </w:rPr>
      </w:pPr>
      <w:r>
        <w:rPr>
          <w:rFonts w:hint="eastAsia" w:ascii="仿宋" w:hAnsi="仿宋" w:eastAsia="仿宋"/>
          <w:sz w:val="24"/>
        </w:rPr>
        <w:t>参与招标投标活动的当事人应对招标文件和投标文件中的商业和技术等秘密保密，违者应对由此造成的后果承担法律责任。</w:t>
      </w:r>
    </w:p>
    <w:p>
      <w:pPr>
        <w:spacing w:line="360" w:lineRule="auto"/>
        <w:ind w:firstLine="480" w:firstLineChars="200"/>
        <w:outlineLvl w:val="1"/>
        <w:rPr>
          <w:rFonts w:ascii="仿宋" w:hAnsi="仿宋" w:eastAsia="仿宋"/>
          <w:sz w:val="24"/>
        </w:rPr>
      </w:pPr>
      <w:bookmarkStart w:id="22" w:name="_Toc436169015"/>
      <w:bookmarkStart w:id="23" w:name="_Toc518288105"/>
      <w:r>
        <w:rPr>
          <w:rFonts w:hint="eastAsia" w:ascii="仿宋" w:hAnsi="仿宋" w:eastAsia="仿宋"/>
          <w:sz w:val="24"/>
        </w:rPr>
        <w:t>四、语言文字、计量单位、时间单位、投标有效期以及投标费用</w:t>
      </w:r>
      <w:bookmarkEnd w:id="22"/>
      <w:bookmarkEnd w:id="23"/>
    </w:p>
    <w:p>
      <w:pPr>
        <w:spacing w:line="360" w:lineRule="auto"/>
        <w:ind w:firstLine="480" w:firstLineChars="200"/>
        <w:outlineLvl w:val="2"/>
        <w:rPr>
          <w:rFonts w:ascii="仿宋" w:hAnsi="仿宋" w:eastAsia="仿宋"/>
          <w:sz w:val="24"/>
        </w:rPr>
      </w:pPr>
      <w:r>
        <w:rPr>
          <w:rFonts w:hint="eastAsia" w:ascii="仿宋" w:hAnsi="仿宋" w:eastAsia="仿宋"/>
          <w:sz w:val="24"/>
        </w:rPr>
        <w:t>1、</w:t>
      </w:r>
      <w:r>
        <w:rPr>
          <w:rFonts w:ascii="仿宋" w:hAnsi="仿宋" w:eastAsia="仿宋"/>
          <w:sz w:val="24"/>
        </w:rPr>
        <w:t>语言文字</w:t>
      </w:r>
    </w:p>
    <w:p>
      <w:pPr>
        <w:spacing w:line="360" w:lineRule="auto"/>
        <w:ind w:firstLine="480" w:firstLineChars="200"/>
        <w:rPr>
          <w:rFonts w:ascii="仿宋" w:hAnsi="仿宋" w:eastAsia="仿宋"/>
          <w:sz w:val="24"/>
        </w:rPr>
      </w:pPr>
      <w:r>
        <w:rPr>
          <w:rFonts w:hint="eastAsia" w:ascii="仿宋" w:hAnsi="仿宋" w:eastAsia="仿宋"/>
          <w:sz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360" w:lineRule="auto"/>
        <w:ind w:firstLine="480" w:firstLineChars="200"/>
        <w:outlineLvl w:val="2"/>
        <w:rPr>
          <w:rFonts w:ascii="仿宋" w:hAnsi="仿宋" w:eastAsia="仿宋"/>
          <w:sz w:val="24"/>
        </w:rPr>
      </w:pPr>
      <w:r>
        <w:rPr>
          <w:rFonts w:hint="eastAsia" w:ascii="仿宋" w:hAnsi="仿宋" w:eastAsia="仿宋"/>
          <w:sz w:val="24"/>
        </w:rPr>
        <w:t>2、计量单位</w:t>
      </w:r>
    </w:p>
    <w:p>
      <w:pPr>
        <w:spacing w:line="360" w:lineRule="auto"/>
        <w:ind w:firstLine="480" w:firstLineChars="200"/>
        <w:rPr>
          <w:rFonts w:ascii="仿宋" w:hAnsi="仿宋" w:eastAsia="仿宋"/>
          <w:sz w:val="24"/>
        </w:rPr>
      </w:pPr>
      <w:r>
        <w:rPr>
          <w:rFonts w:hint="eastAsia" w:ascii="仿宋" w:hAnsi="仿宋" w:eastAsia="仿宋"/>
          <w:sz w:val="24"/>
        </w:rPr>
        <w:t>除招标文件另有规定外，计量均应采用中华人民共和国法定计量单位；所有报价一律使用人民币，货币单位为“元”。</w:t>
      </w:r>
    </w:p>
    <w:p>
      <w:pPr>
        <w:spacing w:line="360" w:lineRule="auto"/>
        <w:ind w:firstLine="480" w:firstLineChars="200"/>
        <w:outlineLvl w:val="2"/>
        <w:rPr>
          <w:rFonts w:ascii="仿宋" w:hAnsi="仿宋" w:eastAsia="仿宋"/>
          <w:sz w:val="24"/>
        </w:rPr>
      </w:pPr>
      <w:r>
        <w:rPr>
          <w:rFonts w:hint="eastAsia" w:ascii="仿宋" w:hAnsi="仿宋" w:eastAsia="仿宋"/>
          <w:sz w:val="24"/>
        </w:rPr>
        <w:t>3、时间单位</w:t>
      </w:r>
    </w:p>
    <w:p>
      <w:pPr>
        <w:spacing w:line="360" w:lineRule="auto"/>
        <w:ind w:firstLine="480" w:firstLineChars="200"/>
        <w:rPr>
          <w:rFonts w:ascii="仿宋" w:hAnsi="仿宋" w:eastAsia="仿宋"/>
          <w:sz w:val="24"/>
        </w:rPr>
      </w:pPr>
      <w:r>
        <w:rPr>
          <w:rFonts w:hint="eastAsia" w:ascii="仿宋" w:hAnsi="仿宋" w:eastAsia="仿宋"/>
          <w:sz w:val="24"/>
        </w:rPr>
        <w:t>除招标文件中另有规定外，招标文件所使用的时间单位“天”、“日”均指日历天，时、分均为北京时间。</w:t>
      </w:r>
    </w:p>
    <w:p>
      <w:pPr>
        <w:spacing w:line="360" w:lineRule="auto"/>
        <w:ind w:firstLine="480" w:firstLineChars="200"/>
        <w:outlineLvl w:val="2"/>
        <w:rPr>
          <w:rFonts w:ascii="仿宋" w:hAnsi="仿宋" w:eastAsia="仿宋"/>
          <w:sz w:val="24"/>
        </w:rPr>
      </w:pPr>
      <w:r>
        <w:rPr>
          <w:rFonts w:hint="eastAsia" w:ascii="仿宋" w:hAnsi="仿宋" w:eastAsia="仿宋"/>
          <w:sz w:val="24"/>
        </w:rPr>
        <w:t>4、</w:t>
      </w:r>
      <w:r>
        <w:rPr>
          <w:rFonts w:ascii="仿宋" w:hAnsi="仿宋" w:eastAsia="仿宋"/>
          <w:sz w:val="24"/>
        </w:rPr>
        <w:t>投标有效期</w:t>
      </w:r>
    </w:p>
    <w:p>
      <w:pPr>
        <w:spacing w:line="360" w:lineRule="auto"/>
        <w:ind w:firstLine="480" w:firstLineChars="200"/>
        <w:rPr>
          <w:rFonts w:ascii="仿宋" w:hAnsi="仿宋" w:eastAsia="仿宋"/>
          <w:sz w:val="24"/>
        </w:rPr>
      </w:pPr>
      <w:r>
        <w:rPr>
          <w:rFonts w:ascii="仿宋" w:hAnsi="仿宋" w:eastAsia="仿宋"/>
          <w:sz w:val="24"/>
        </w:rPr>
        <w:t>4.1</w:t>
      </w:r>
      <w:r>
        <w:rPr>
          <w:rFonts w:hint="eastAsia" w:ascii="仿宋" w:hAnsi="仿宋" w:eastAsia="仿宋"/>
          <w:sz w:val="24"/>
        </w:rPr>
        <w:t>、在投标人须知规定的投标有效期内，投标文件以及其补充、承诺等部分均保持有效。</w:t>
      </w:r>
    </w:p>
    <w:p>
      <w:pPr>
        <w:spacing w:line="360" w:lineRule="auto"/>
        <w:ind w:firstLine="480" w:firstLineChars="200"/>
        <w:rPr>
          <w:rFonts w:ascii="仿宋" w:hAnsi="仿宋" w:eastAsia="仿宋"/>
          <w:sz w:val="24"/>
        </w:rPr>
      </w:pPr>
      <w:r>
        <w:rPr>
          <w:rFonts w:ascii="仿宋" w:hAnsi="仿宋" w:eastAsia="仿宋"/>
          <w:sz w:val="24"/>
        </w:rPr>
        <w:t>4.2</w:t>
      </w:r>
      <w:r>
        <w:rPr>
          <w:rFonts w:hint="eastAsia" w:ascii="仿宋" w:hAnsi="仿宋" w:eastAsia="仿宋"/>
          <w:sz w:val="24"/>
        </w:rPr>
        <w:t>、在招标文件规定的投标文件有效期满之前，如果出现特殊情况，招标人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360" w:lineRule="auto"/>
        <w:ind w:firstLine="480" w:firstLineChars="200"/>
        <w:outlineLvl w:val="2"/>
        <w:rPr>
          <w:rFonts w:ascii="仿宋" w:hAnsi="仿宋" w:eastAsia="仿宋"/>
          <w:sz w:val="24"/>
        </w:rPr>
      </w:pPr>
      <w:r>
        <w:rPr>
          <w:rFonts w:hint="eastAsia" w:ascii="仿宋" w:hAnsi="仿宋" w:eastAsia="仿宋"/>
          <w:sz w:val="24"/>
        </w:rPr>
        <w:t>5、</w:t>
      </w:r>
      <w:r>
        <w:rPr>
          <w:rFonts w:ascii="仿宋" w:hAnsi="仿宋" w:eastAsia="仿宋"/>
          <w:sz w:val="24"/>
        </w:rPr>
        <w:t>投标费用</w:t>
      </w:r>
    </w:p>
    <w:p>
      <w:pPr>
        <w:spacing w:line="360" w:lineRule="auto"/>
        <w:ind w:firstLine="480" w:firstLineChars="200"/>
        <w:rPr>
          <w:rFonts w:ascii="仿宋" w:hAnsi="仿宋" w:eastAsia="仿宋"/>
          <w:sz w:val="24"/>
        </w:rPr>
      </w:pPr>
      <w:r>
        <w:rPr>
          <w:rFonts w:hint="eastAsia" w:ascii="仿宋" w:hAnsi="仿宋" w:eastAsia="仿宋"/>
          <w:sz w:val="24"/>
        </w:rPr>
        <w:t>投标人应自行承担其准备和参加投标活动发生的所有费用。</w:t>
      </w:r>
    </w:p>
    <w:p>
      <w:pPr>
        <w:spacing w:line="360" w:lineRule="auto"/>
        <w:ind w:firstLine="480" w:firstLineChars="200"/>
        <w:outlineLvl w:val="1"/>
        <w:rPr>
          <w:rFonts w:ascii="仿宋" w:hAnsi="仿宋" w:eastAsia="仿宋"/>
          <w:sz w:val="24"/>
        </w:rPr>
      </w:pPr>
      <w:bookmarkStart w:id="24" w:name="_Toc436169016"/>
      <w:bookmarkStart w:id="25" w:name="_Toc518288106"/>
      <w:r>
        <w:rPr>
          <w:rFonts w:hint="eastAsia" w:ascii="仿宋" w:hAnsi="仿宋" w:eastAsia="仿宋"/>
          <w:sz w:val="24"/>
        </w:rPr>
        <w:t>五、踏勘现场</w:t>
      </w:r>
      <w:bookmarkEnd w:id="24"/>
      <w:bookmarkEnd w:id="25"/>
    </w:p>
    <w:p>
      <w:pPr>
        <w:spacing w:line="360" w:lineRule="auto"/>
        <w:ind w:firstLine="480" w:firstLineChars="200"/>
        <w:rPr>
          <w:rFonts w:ascii="仿宋" w:hAnsi="仿宋" w:eastAsia="仿宋"/>
          <w:sz w:val="24"/>
        </w:rPr>
      </w:pPr>
      <w:r>
        <w:rPr>
          <w:rFonts w:hint="eastAsia" w:ascii="仿宋" w:hAnsi="仿宋" w:eastAsia="仿宋"/>
          <w:sz w:val="24"/>
        </w:rPr>
        <w:t>1、投标人须知规定组织踏勘现场的，招标人必须按照规定时间、地点组织投标人踏勘项目现场，以便投标人获取有关编制投标文件和签署合同所涉及现场的资料。投标人承担踏勘现场所发生的自身费用。</w:t>
      </w:r>
    </w:p>
    <w:p>
      <w:pPr>
        <w:spacing w:line="360" w:lineRule="auto"/>
        <w:ind w:firstLine="480" w:firstLineChars="200"/>
        <w:rPr>
          <w:rFonts w:ascii="仿宋" w:hAnsi="仿宋" w:eastAsia="仿宋"/>
          <w:sz w:val="24"/>
        </w:rPr>
      </w:pPr>
      <w:r>
        <w:rPr>
          <w:rFonts w:hint="eastAsia" w:ascii="仿宋" w:hAnsi="仿宋" w:eastAsia="仿宋"/>
          <w:sz w:val="24"/>
        </w:rPr>
        <w:t>2、招标人向投标人提供的有关现场的资料和数据，是招标人现有的能使投标人利用的资料，招标人对投标人由此而做出的推论、理解和结论不负责任。</w:t>
      </w:r>
    </w:p>
    <w:p>
      <w:pPr>
        <w:spacing w:line="360" w:lineRule="auto"/>
        <w:ind w:firstLine="480" w:firstLineChars="200"/>
        <w:rPr>
          <w:rFonts w:ascii="仿宋" w:hAnsi="仿宋" w:eastAsia="仿宋"/>
          <w:sz w:val="24"/>
        </w:rPr>
      </w:pPr>
      <w:r>
        <w:rPr>
          <w:rFonts w:hint="eastAsia" w:ascii="仿宋" w:hAnsi="仿宋" w:eastAsia="仿宋"/>
          <w:sz w:val="24"/>
        </w:rPr>
        <w:t>3、投标人经过招标人允许，可以进入项目现场踏勘，但不得因此使招标人承担有关责任和蒙受损失。除招标人原因外，投标人应对踏勘现场而造成的死亡、人身伤害、财产损失、损害以及其它任何损失、损害和引起的费用和开支承担责任。</w:t>
      </w:r>
    </w:p>
    <w:p>
      <w:pPr>
        <w:spacing w:line="360" w:lineRule="auto"/>
        <w:ind w:firstLine="480" w:firstLineChars="200"/>
        <w:outlineLvl w:val="1"/>
        <w:rPr>
          <w:rFonts w:ascii="仿宋" w:hAnsi="仿宋" w:eastAsia="仿宋"/>
          <w:sz w:val="24"/>
        </w:rPr>
      </w:pPr>
      <w:bookmarkStart w:id="26" w:name="_Toc436169017"/>
      <w:bookmarkStart w:id="27" w:name="_Toc518288107"/>
      <w:r>
        <w:rPr>
          <w:rFonts w:hint="eastAsia" w:ascii="仿宋" w:hAnsi="仿宋" w:eastAsia="仿宋"/>
          <w:sz w:val="24"/>
        </w:rPr>
        <w:t>六、询问</w:t>
      </w:r>
      <w:bookmarkEnd w:id="26"/>
      <w:bookmarkEnd w:id="27"/>
    </w:p>
    <w:p>
      <w:pPr>
        <w:spacing w:line="360" w:lineRule="auto"/>
        <w:ind w:firstLine="480" w:firstLineChars="200"/>
        <w:rPr>
          <w:rFonts w:ascii="仿宋" w:hAnsi="仿宋" w:eastAsia="仿宋"/>
          <w:sz w:val="24"/>
        </w:rPr>
      </w:pPr>
      <w:r>
        <w:rPr>
          <w:rFonts w:hint="eastAsia" w:ascii="仿宋" w:hAnsi="仿宋" w:eastAsia="仿宋"/>
          <w:sz w:val="24"/>
        </w:rPr>
        <w:t>1、投标人对招标投标活动事项有疑问的，可以向招标人提出询问；招标人答复的内容不得涉及商业秘密。</w:t>
      </w:r>
    </w:p>
    <w:p>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询问及答复既可以采取书面形式，也可以采取电话、面谈等口头方式。</w:t>
      </w:r>
    </w:p>
    <w:p>
      <w:pPr>
        <w:spacing w:line="360" w:lineRule="auto"/>
        <w:ind w:firstLine="480" w:firstLineChars="200"/>
        <w:outlineLvl w:val="1"/>
        <w:rPr>
          <w:rFonts w:ascii="仿宋" w:hAnsi="仿宋" w:eastAsia="仿宋"/>
          <w:sz w:val="24"/>
        </w:rPr>
      </w:pPr>
      <w:bookmarkStart w:id="28" w:name="_Toc518288108"/>
      <w:bookmarkStart w:id="29" w:name="_Toc436169018"/>
      <w:r>
        <w:rPr>
          <w:rFonts w:hint="eastAsia" w:ascii="仿宋" w:hAnsi="仿宋" w:eastAsia="仿宋"/>
          <w:sz w:val="24"/>
        </w:rPr>
        <w:t>七、偏离</w:t>
      </w:r>
      <w:bookmarkEnd w:id="28"/>
      <w:bookmarkEnd w:id="29"/>
    </w:p>
    <w:p>
      <w:pPr>
        <w:spacing w:line="360" w:lineRule="auto"/>
        <w:ind w:firstLine="480" w:firstLineChars="200"/>
        <w:rPr>
          <w:rFonts w:ascii="仿宋" w:hAnsi="仿宋" w:eastAsia="仿宋"/>
          <w:sz w:val="24"/>
        </w:rPr>
      </w:pPr>
      <w:r>
        <w:rPr>
          <w:rFonts w:hint="eastAsia" w:ascii="仿宋" w:hAnsi="仿宋" w:eastAsia="仿宋"/>
          <w:sz w:val="24"/>
        </w:rPr>
        <w:t>招标人允许投标文件偏离招标文件某些非实质性要求的，偏离应当符合招标文件规定的偏离范围和幅度。</w:t>
      </w:r>
    </w:p>
    <w:p>
      <w:pPr>
        <w:spacing w:line="360" w:lineRule="auto"/>
        <w:ind w:firstLine="480" w:firstLineChars="200"/>
        <w:outlineLvl w:val="1"/>
        <w:rPr>
          <w:rFonts w:ascii="仿宋" w:hAnsi="仿宋" w:eastAsia="仿宋"/>
          <w:sz w:val="24"/>
        </w:rPr>
      </w:pPr>
      <w:bookmarkStart w:id="30" w:name="_Toc436169019"/>
      <w:bookmarkStart w:id="31" w:name="_Toc518288109"/>
      <w:r>
        <w:rPr>
          <w:rFonts w:hint="eastAsia" w:ascii="仿宋" w:hAnsi="仿宋" w:eastAsia="仿宋"/>
          <w:sz w:val="24"/>
        </w:rPr>
        <w:t>八、履约担保</w:t>
      </w:r>
      <w:bookmarkEnd w:id="30"/>
      <w:bookmarkEnd w:id="31"/>
    </w:p>
    <w:p>
      <w:pPr>
        <w:spacing w:line="360" w:lineRule="auto"/>
        <w:ind w:firstLine="480" w:firstLineChars="200"/>
        <w:rPr>
          <w:rFonts w:ascii="仿宋" w:hAnsi="仿宋" w:eastAsia="仿宋"/>
          <w:sz w:val="24"/>
        </w:rPr>
      </w:pPr>
      <w:r>
        <w:rPr>
          <w:rFonts w:hint="eastAsia" w:ascii="仿宋" w:hAnsi="仿宋" w:eastAsia="仿宋"/>
          <w:sz w:val="24"/>
        </w:rPr>
        <w:t>1、在签订合同前，中标人应按照有关规定或者事先经过招标人书面认可的履约担保要求向招标人提交履约担保。除另有规定外，履约担保金额不超过中标合同金额的</w:t>
      </w:r>
      <w:r>
        <w:rPr>
          <w:rFonts w:ascii="仿宋" w:hAnsi="仿宋" w:eastAsia="仿宋"/>
          <w:sz w:val="24"/>
        </w:rPr>
        <w:t>10%</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2、中标人未按照要求提交履约担保的，视为放弃中标，其投标保证金不予退还，给招标人造成的损失超过投标保证金的，中标人应当对超过部分予以赔偿。</w:t>
      </w:r>
    </w:p>
    <w:p>
      <w:pPr>
        <w:spacing w:line="360" w:lineRule="auto"/>
        <w:ind w:firstLine="480" w:firstLineChars="200"/>
        <w:outlineLvl w:val="1"/>
        <w:rPr>
          <w:rFonts w:ascii="仿宋" w:hAnsi="仿宋" w:eastAsia="仿宋"/>
          <w:sz w:val="24"/>
        </w:rPr>
      </w:pPr>
      <w:bookmarkStart w:id="32" w:name="_Toc436169020"/>
      <w:bookmarkStart w:id="33" w:name="_Toc518288110"/>
      <w:r>
        <w:rPr>
          <w:rFonts w:hint="eastAsia" w:ascii="仿宋" w:hAnsi="仿宋" w:eastAsia="仿宋"/>
          <w:sz w:val="24"/>
        </w:rPr>
        <w:t>九、</w:t>
      </w:r>
      <w:bookmarkEnd w:id="32"/>
      <w:bookmarkEnd w:id="33"/>
      <w:bookmarkStart w:id="34" w:name="_Toc518288111"/>
      <w:bookmarkStart w:id="35" w:name="_Toc436169021"/>
      <w:r>
        <w:rPr>
          <w:rFonts w:hint="eastAsia" w:ascii="仿宋" w:hAnsi="仿宋" w:eastAsia="仿宋"/>
          <w:sz w:val="24"/>
        </w:rPr>
        <w:t>招标文件</w:t>
      </w:r>
      <w:bookmarkEnd w:id="34"/>
      <w:bookmarkEnd w:id="35"/>
    </w:p>
    <w:p>
      <w:pPr>
        <w:spacing w:line="360" w:lineRule="auto"/>
        <w:ind w:firstLine="480" w:firstLineChars="200"/>
        <w:outlineLvl w:val="2"/>
        <w:rPr>
          <w:rFonts w:ascii="仿宋" w:hAnsi="仿宋" w:eastAsia="仿宋"/>
          <w:sz w:val="24"/>
        </w:rPr>
      </w:pPr>
      <w:r>
        <w:rPr>
          <w:rFonts w:hint="eastAsia" w:ascii="仿宋" w:hAnsi="仿宋" w:eastAsia="仿宋"/>
          <w:sz w:val="24"/>
        </w:rPr>
        <w:t>1、</w:t>
      </w:r>
      <w:r>
        <w:rPr>
          <w:rFonts w:ascii="仿宋" w:hAnsi="仿宋" w:eastAsia="仿宋"/>
          <w:sz w:val="24"/>
        </w:rPr>
        <w:t>招标文件的组成</w:t>
      </w:r>
    </w:p>
    <w:p>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、招标文件是用以阐明所需服务、招标程序和合同格式的规范性文件。招标文件主要由以下部分组成：</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1）招标公告；</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2）投标人应当提交的资格、资信等证明文件；</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3）采购需求；</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4）评标办法；</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5）投标人须知；</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6）评审程序；</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7）招标公告规定的其他材料。</w:t>
      </w:r>
    </w:p>
    <w:p>
      <w:pPr>
        <w:spacing w:line="36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、除非有特殊要求，招标文件不单独提供项目所在地的自然环境、气候条件、公用设施等情况，投标人被视为熟悉上述与履行合同有关的一切情况。</w:t>
      </w:r>
    </w:p>
    <w:p>
      <w:pPr>
        <w:spacing w:line="360" w:lineRule="auto"/>
        <w:ind w:firstLine="480" w:firstLineChars="200"/>
        <w:outlineLvl w:val="2"/>
        <w:rPr>
          <w:rFonts w:ascii="仿宋" w:hAnsi="仿宋" w:eastAsia="仿宋"/>
          <w:sz w:val="24"/>
        </w:rPr>
      </w:pPr>
      <w:r>
        <w:rPr>
          <w:rFonts w:ascii="仿宋" w:hAnsi="仿宋" w:eastAsia="仿宋"/>
          <w:sz w:val="24"/>
        </w:rPr>
        <w:t>2</w:t>
      </w:r>
      <w:r>
        <w:rPr>
          <w:rFonts w:hint="eastAsia" w:ascii="仿宋" w:hAnsi="仿宋" w:eastAsia="仿宋"/>
          <w:sz w:val="24"/>
        </w:rPr>
        <w:t>、延长投标截止时间和开标时间</w:t>
      </w:r>
    </w:p>
    <w:p>
      <w:pPr>
        <w:spacing w:line="360" w:lineRule="auto"/>
        <w:ind w:firstLine="480" w:firstLineChars="200"/>
        <w:rPr>
          <w:rFonts w:ascii="仿宋" w:hAnsi="仿宋" w:eastAsia="仿宋"/>
          <w:sz w:val="24"/>
        </w:rPr>
      </w:pPr>
      <w:r>
        <w:rPr>
          <w:rFonts w:hint="eastAsia" w:ascii="仿宋" w:hAnsi="仿宋" w:eastAsia="仿宋"/>
          <w:sz w:val="24"/>
        </w:rPr>
        <w:t>招标人可以视采购具体情况，延长投标截止时间和开标时间，但至少应当在招标文件要求提交投标文件的截止时间3日前，在青岛开放大学门户网站上发布更正公告，以书面形式通知所有招标文件收受人。</w:t>
      </w:r>
    </w:p>
    <w:p>
      <w:pPr>
        <w:spacing w:line="360" w:lineRule="auto"/>
        <w:ind w:firstLine="480" w:firstLineChars="200"/>
        <w:outlineLvl w:val="1"/>
        <w:rPr>
          <w:rFonts w:ascii="仿宋" w:hAnsi="仿宋" w:eastAsia="仿宋"/>
          <w:sz w:val="24"/>
        </w:rPr>
      </w:pPr>
      <w:bookmarkStart w:id="36" w:name="_Toc436169022"/>
      <w:bookmarkStart w:id="37" w:name="_Toc518288112"/>
      <w:r>
        <w:rPr>
          <w:rFonts w:hint="eastAsia" w:ascii="仿宋" w:hAnsi="仿宋" w:eastAsia="仿宋"/>
          <w:sz w:val="24"/>
        </w:rPr>
        <w:t>十、投标文件的组成</w:t>
      </w:r>
      <w:bookmarkEnd w:id="36"/>
      <w:bookmarkEnd w:id="37"/>
    </w:p>
    <w:p>
      <w:pPr>
        <w:spacing w:line="360" w:lineRule="auto"/>
        <w:ind w:firstLine="480" w:firstLineChars="200"/>
        <w:rPr>
          <w:rFonts w:ascii="仿宋" w:hAnsi="仿宋" w:eastAsia="仿宋"/>
          <w:sz w:val="24"/>
        </w:rPr>
      </w:pPr>
      <w:r>
        <w:rPr>
          <w:rFonts w:hint="eastAsia" w:ascii="仿宋" w:hAnsi="仿宋" w:eastAsia="仿宋"/>
          <w:sz w:val="24"/>
        </w:rPr>
        <w:t>1、c应按照招标文件的要求以及格式编制投标文件，并保证其真实性、准确性以及完整性，并按照招标文件要求提交全部资料并做出实质性响应。</w:t>
      </w:r>
    </w:p>
    <w:p>
      <w:pPr>
        <w:spacing w:line="360" w:lineRule="auto"/>
        <w:ind w:firstLine="480" w:firstLineChars="200"/>
        <w:rPr>
          <w:rFonts w:ascii="仿宋" w:hAnsi="仿宋" w:eastAsia="仿宋"/>
          <w:sz w:val="24"/>
        </w:rPr>
      </w:pPr>
      <w:r>
        <w:rPr>
          <w:rFonts w:hint="eastAsia" w:ascii="仿宋" w:hAnsi="仿宋" w:eastAsia="仿宋"/>
          <w:sz w:val="24"/>
        </w:rPr>
        <w:t>2、投标文件由商务文件、技术文件、资格、资信等证明文件以及电子版投标文件组成：</w:t>
      </w:r>
    </w:p>
    <w:p>
      <w:pPr>
        <w:spacing w:line="360" w:lineRule="auto"/>
        <w:ind w:firstLine="480" w:firstLineChars="200"/>
        <w:rPr>
          <w:rFonts w:ascii="仿宋" w:hAnsi="仿宋" w:eastAsia="仿宋"/>
          <w:sz w:val="24"/>
        </w:rPr>
      </w:pPr>
      <w:r>
        <w:rPr>
          <w:rFonts w:hint="eastAsia" w:ascii="仿宋" w:hAnsi="仿宋" w:eastAsia="仿宋"/>
          <w:sz w:val="24"/>
        </w:rPr>
        <w:t>3、商务文件</w:t>
      </w:r>
    </w:p>
    <w:p>
      <w:pPr>
        <w:spacing w:line="360" w:lineRule="auto"/>
        <w:ind w:firstLine="480" w:firstLineChars="200"/>
        <w:rPr>
          <w:rFonts w:ascii="仿宋" w:hAnsi="仿宋" w:eastAsia="仿宋"/>
          <w:sz w:val="24"/>
        </w:rPr>
      </w:pPr>
      <w:r>
        <w:rPr>
          <w:rFonts w:ascii="仿宋" w:hAnsi="仿宋" w:eastAsia="仿宋"/>
          <w:sz w:val="24"/>
        </w:rPr>
        <w:t>3.1</w:t>
      </w:r>
      <w:r>
        <w:rPr>
          <w:rFonts w:hint="eastAsia" w:ascii="仿宋" w:hAnsi="仿宋" w:eastAsia="仿宋"/>
          <w:sz w:val="24"/>
        </w:rPr>
        <w:t>、投标函；</w:t>
      </w:r>
    </w:p>
    <w:p>
      <w:pPr>
        <w:spacing w:line="360" w:lineRule="auto"/>
        <w:ind w:firstLine="480" w:firstLineChars="200"/>
        <w:rPr>
          <w:rStyle w:val="19"/>
          <w:sz w:val="24"/>
        </w:rPr>
      </w:pPr>
      <w:r>
        <w:rPr>
          <w:rStyle w:val="19"/>
          <w:rFonts w:hint="eastAsia"/>
          <w:sz w:val="24"/>
        </w:rPr>
        <w:t>3.2</w:t>
      </w:r>
      <w:r>
        <w:rPr>
          <w:rFonts w:hint="eastAsia" w:ascii="仿宋" w:hAnsi="仿宋" w:eastAsia="仿宋"/>
          <w:sz w:val="24"/>
        </w:rPr>
        <w:t>、</w:t>
      </w:r>
      <w:r>
        <w:rPr>
          <w:rStyle w:val="19"/>
          <w:rFonts w:hint="eastAsia"/>
          <w:sz w:val="24"/>
        </w:rPr>
        <w:t>在经营活动中没有重大违法记录的书面声明；</w:t>
      </w:r>
    </w:p>
    <w:p>
      <w:pPr>
        <w:spacing w:line="360" w:lineRule="auto"/>
        <w:ind w:firstLine="480" w:firstLineChars="200"/>
        <w:rPr>
          <w:rFonts w:ascii="仿宋" w:hAnsi="仿宋" w:eastAsia="仿宋"/>
          <w:sz w:val="24"/>
        </w:rPr>
      </w:pPr>
      <w:r>
        <w:rPr>
          <w:rFonts w:hint="eastAsia" w:ascii="仿宋" w:hAnsi="仿宋" w:eastAsia="仿宋"/>
          <w:kern w:val="1"/>
          <w:sz w:val="24"/>
        </w:rPr>
        <w:t>3.3</w:t>
      </w:r>
      <w:r>
        <w:rPr>
          <w:rFonts w:hint="eastAsia" w:ascii="仿宋" w:hAnsi="仿宋" w:eastAsia="仿宋"/>
          <w:sz w:val="24"/>
        </w:rPr>
        <w:t>、</w:t>
      </w:r>
      <w:r>
        <w:rPr>
          <w:rFonts w:ascii="仿宋" w:hAnsi="仿宋" w:eastAsia="仿宋"/>
          <w:kern w:val="1"/>
          <w:sz w:val="24"/>
        </w:rPr>
        <w:t>法定代表人身份证明</w:t>
      </w:r>
      <w:r>
        <w:rPr>
          <w:rFonts w:hint="eastAsia" w:ascii="仿宋" w:hAnsi="仿宋" w:eastAsia="仿宋"/>
          <w:kern w:val="1"/>
          <w:sz w:val="24"/>
        </w:rPr>
        <w:t>；</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4、法定代表人授权委托书；</w:t>
      </w:r>
    </w:p>
    <w:p>
      <w:pPr>
        <w:spacing w:line="360" w:lineRule="auto"/>
        <w:ind w:firstLine="480" w:firstLineChars="200"/>
        <w:rPr>
          <w:rFonts w:ascii="仿宋" w:hAnsi="仿宋" w:eastAsia="仿宋"/>
          <w:sz w:val="24"/>
          <w:lang w:val="zh-CN"/>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5、</w:t>
      </w:r>
      <w:r>
        <w:rPr>
          <w:rFonts w:ascii="仿宋" w:hAnsi="仿宋" w:eastAsia="仿宋"/>
          <w:sz w:val="24"/>
        </w:rPr>
        <w:t>投标报价</w:t>
      </w:r>
      <w:r>
        <w:rPr>
          <w:rFonts w:hint="eastAsia" w:ascii="仿宋" w:hAnsi="仿宋" w:eastAsia="仿宋"/>
          <w:sz w:val="24"/>
          <w:lang w:val="zh-CN"/>
        </w:rPr>
        <w:t>：</w:t>
      </w:r>
    </w:p>
    <w:p>
      <w:pPr>
        <w:spacing w:line="360" w:lineRule="auto"/>
        <w:ind w:firstLine="480" w:firstLineChars="200"/>
        <w:rPr>
          <w:rFonts w:ascii="仿宋" w:hAnsi="仿宋" w:eastAsia="仿宋"/>
          <w:sz w:val="24"/>
        </w:rPr>
      </w:pPr>
      <w:r>
        <w:rPr>
          <w:rFonts w:hint="eastAsia" w:ascii="仿宋" w:hAnsi="仿宋" w:eastAsia="仿宋"/>
          <w:sz w:val="24"/>
        </w:rPr>
        <w:t>（1）报价一览表。是分项报价明细表的汇总表，投标报价（即投标报价总计金额）为各个分项报价金额之和。报价项不得空缺、删除或修改，也不可用“……”“--”“免费”“无”及“已包含在总价中”等表示。</w:t>
      </w:r>
    </w:p>
    <w:p>
      <w:pPr>
        <w:spacing w:line="360" w:lineRule="auto"/>
        <w:ind w:firstLine="480" w:firstLineChars="200"/>
        <w:rPr>
          <w:rFonts w:ascii="仿宋" w:hAnsi="仿宋" w:eastAsia="仿宋"/>
          <w:sz w:val="24"/>
        </w:rPr>
      </w:pPr>
      <w:r>
        <w:rPr>
          <w:rFonts w:hint="eastAsia" w:ascii="仿宋" w:hAnsi="仿宋" w:eastAsia="仿宋"/>
          <w:sz w:val="24"/>
        </w:rPr>
        <w:t>（2）分项报价明细表。各分项报价小计名称应当与《报价一览表》中费用名称、金额对应，投标人应当对分项报价明细表中各分项逐一报价，无此项报价的不得删除、修改报价项，可用阿拉伯数字“0.00”表示，投标人认为《分项报价明细表》有漏项的，可以增加分项报价。</w:t>
      </w:r>
    </w:p>
    <w:p>
      <w:pPr>
        <w:spacing w:line="360" w:lineRule="auto"/>
        <w:ind w:firstLine="480" w:firstLineChars="200"/>
        <w:rPr>
          <w:rFonts w:ascii="仿宋" w:hAnsi="仿宋" w:eastAsia="仿宋"/>
          <w:sz w:val="24"/>
        </w:rPr>
      </w:pPr>
      <w:r>
        <w:rPr>
          <w:rFonts w:hint="eastAsia" w:ascii="仿宋" w:hAnsi="仿宋" w:eastAsia="仿宋"/>
          <w:sz w:val="24"/>
        </w:rPr>
        <w:t>（3）报价需要说明的其他文件、材料。投标人认为需要对《报价一览表》、《分项报价明细表》中有关报价进一步说明或者证明其报价的文件和材料等。</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6、</w:t>
      </w:r>
      <w:r>
        <w:rPr>
          <w:rStyle w:val="19"/>
          <w:rFonts w:hint="eastAsia"/>
          <w:sz w:val="24"/>
        </w:rPr>
        <w:t>投标人同类项目实施情况一览表</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7、资信以及商务响应表；</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8、政府采购诚信承诺书；</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9、联合投标协议书（若有）；</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10、联合投标授权委托书（若有）；</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11、中小企业声明函；</w:t>
      </w:r>
    </w:p>
    <w:p>
      <w:pPr>
        <w:autoSpaceDE w:val="0"/>
        <w:autoSpaceDN w:val="0"/>
        <w:adjustRightInd w:val="0"/>
        <w:spacing w:line="360" w:lineRule="auto"/>
        <w:ind w:firstLine="482"/>
        <w:rPr>
          <w:rFonts w:ascii="仿宋" w:hAnsi="仿宋" w:eastAsia="仿宋" w:cs="宋体"/>
          <w:sz w:val="24"/>
          <w:lang w:val="zh-CN"/>
        </w:rPr>
      </w:pPr>
      <w:r>
        <w:rPr>
          <w:rFonts w:hint="eastAsia" w:ascii="仿宋" w:hAnsi="仿宋" w:eastAsia="仿宋" w:cs="仿宋"/>
          <w:sz w:val="24"/>
          <w:lang w:val="zh-CN"/>
        </w:rPr>
        <w:t>3</w:t>
      </w:r>
      <w:r>
        <w:rPr>
          <w:rFonts w:ascii="仿宋" w:hAnsi="仿宋" w:eastAsia="仿宋" w:cs="仿宋"/>
          <w:sz w:val="24"/>
          <w:lang w:val="zh-CN"/>
        </w:rPr>
        <w:t>.</w:t>
      </w:r>
      <w:r>
        <w:rPr>
          <w:rFonts w:hint="eastAsia" w:ascii="仿宋" w:hAnsi="仿宋" w:eastAsia="仿宋" w:cs="仿宋"/>
          <w:sz w:val="24"/>
          <w:lang w:val="zh-CN"/>
        </w:rPr>
        <w:t>12</w:t>
      </w:r>
      <w:r>
        <w:rPr>
          <w:rFonts w:hint="eastAsia" w:ascii="仿宋" w:hAnsi="仿宋" w:eastAsia="仿宋"/>
          <w:sz w:val="24"/>
        </w:rPr>
        <w:t>、</w:t>
      </w:r>
      <w:r>
        <w:rPr>
          <w:rFonts w:hint="eastAsia" w:ascii="仿宋" w:hAnsi="仿宋" w:eastAsia="仿宋" w:cs="宋体"/>
          <w:sz w:val="24"/>
          <w:lang w:val="zh-CN"/>
        </w:rPr>
        <w:t>原创声明；</w:t>
      </w:r>
    </w:p>
    <w:p>
      <w:pPr>
        <w:autoSpaceDE w:val="0"/>
        <w:autoSpaceDN w:val="0"/>
        <w:adjustRightInd w:val="0"/>
        <w:spacing w:line="360" w:lineRule="auto"/>
        <w:ind w:firstLine="482"/>
        <w:rPr>
          <w:rFonts w:ascii="仿宋" w:hAnsi="仿宋" w:eastAsia="仿宋" w:cs="宋体"/>
          <w:sz w:val="24"/>
          <w:lang w:val="zh-CN"/>
        </w:rPr>
      </w:pPr>
      <w:r>
        <w:rPr>
          <w:rFonts w:hint="eastAsia" w:ascii="仿宋" w:hAnsi="仿宋" w:eastAsia="仿宋" w:cs="仿宋"/>
          <w:sz w:val="24"/>
          <w:lang w:val="zh-CN"/>
        </w:rPr>
        <w:t>3</w:t>
      </w:r>
      <w:r>
        <w:rPr>
          <w:rFonts w:ascii="仿宋" w:hAnsi="仿宋" w:eastAsia="仿宋" w:cs="仿宋"/>
          <w:sz w:val="24"/>
          <w:lang w:val="zh-CN"/>
        </w:rPr>
        <w:t>.</w:t>
      </w:r>
      <w:r>
        <w:rPr>
          <w:rFonts w:hint="eastAsia" w:ascii="仿宋" w:hAnsi="仿宋" w:eastAsia="仿宋" w:cs="仿宋"/>
          <w:sz w:val="24"/>
          <w:lang w:val="zh-CN"/>
        </w:rPr>
        <w:t>13</w:t>
      </w:r>
      <w:r>
        <w:rPr>
          <w:rFonts w:hint="eastAsia" w:ascii="仿宋" w:hAnsi="仿宋" w:eastAsia="仿宋"/>
          <w:sz w:val="24"/>
        </w:rPr>
        <w:t>、</w:t>
      </w:r>
      <w:r>
        <w:rPr>
          <w:rFonts w:hint="eastAsia" w:ascii="仿宋" w:hAnsi="仿宋" w:eastAsia="仿宋" w:cs="宋体"/>
          <w:sz w:val="24"/>
          <w:lang w:val="zh-CN"/>
        </w:rPr>
        <w:t>“信用中国”网站（www.creditchina.gov.cn）、中国政府采购网（www.ccgp.gov.cn）、信用山东(www.creditsd.gov.cn)及信用青岛（credit.qingdao.gov.cn）查询记录.</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4、招标文件商务评标办法中要求提交的相关证明材料复印件；</w:t>
      </w:r>
    </w:p>
    <w:p>
      <w:pPr>
        <w:spacing w:line="360" w:lineRule="auto"/>
        <w:ind w:firstLine="480" w:firstLineChars="200"/>
        <w:rPr>
          <w:rFonts w:ascii="仿宋" w:hAnsi="仿宋" w:eastAsia="仿宋"/>
          <w:sz w:val="24"/>
        </w:rPr>
      </w:pPr>
      <w:r>
        <w:rPr>
          <w:rFonts w:hint="eastAsia" w:ascii="仿宋" w:hAnsi="仿宋" w:eastAsia="仿宋"/>
          <w:sz w:val="24"/>
        </w:rPr>
        <w:t>3.15、投标人认为应介绍或者提交的资料和文件。</w:t>
      </w:r>
    </w:p>
    <w:p>
      <w:pPr>
        <w:spacing w:line="360" w:lineRule="auto"/>
        <w:ind w:firstLine="480" w:firstLineChars="200"/>
        <w:rPr>
          <w:rFonts w:ascii="仿宋" w:hAnsi="仿宋" w:eastAsia="仿宋"/>
          <w:sz w:val="24"/>
        </w:rPr>
      </w:pPr>
      <w:r>
        <w:rPr>
          <w:rFonts w:hint="eastAsia" w:ascii="仿宋" w:hAnsi="仿宋" w:eastAsia="仿宋"/>
          <w:sz w:val="24"/>
        </w:rPr>
        <w:t>4、技术文件</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.1</w:t>
      </w:r>
      <w:r>
        <w:rPr>
          <w:rFonts w:hint="eastAsia" w:ascii="仿宋" w:hAnsi="仿宋" w:eastAsia="仿宋"/>
          <w:sz w:val="24"/>
        </w:rPr>
        <w:t>、</w:t>
      </w:r>
      <w:r>
        <w:rPr>
          <w:rFonts w:hint="eastAsia" w:ascii="仿宋" w:hAnsi="仿宋" w:eastAsia="仿宋" w:cs="仿宋"/>
          <w:sz w:val="24"/>
          <w:lang w:val="zh-CN"/>
        </w:rPr>
        <w:t>对本项目服务总体要求的理解；</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.2</w:t>
      </w:r>
      <w:r>
        <w:rPr>
          <w:rFonts w:hint="eastAsia" w:ascii="仿宋" w:hAnsi="仿宋" w:eastAsia="仿宋"/>
          <w:sz w:val="24"/>
        </w:rPr>
        <w:t>、</w:t>
      </w:r>
      <w:r>
        <w:rPr>
          <w:rFonts w:hint="eastAsia" w:ascii="仿宋" w:hAnsi="仿宋" w:eastAsia="仿宋" w:cs="仿宋"/>
          <w:sz w:val="24"/>
          <w:lang w:val="zh-CN"/>
        </w:rPr>
        <w:t>服务方案；</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.3</w:t>
      </w:r>
      <w:r>
        <w:rPr>
          <w:rFonts w:hint="eastAsia" w:ascii="仿宋" w:hAnsi="仿宋" w:eastAsia="仿宋"/>
          <w:sz w:val="24"/>
        </w:rPr>
        <w:t>、</w:t>
      </w:r>
      <w:r>
        <w:rPr>
          <w:rFonts w:hint="eastAsia" w:ascii="仿宋" w:hAnsi="仿宋" w:eastAsia="仿宋" w:cs="仿宋"/>
          <w:sz w:val="24"/>
          <w:lang w:val="zh-CN"/>
        </w:rPr>
        <w:t>应急服务措施；</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.4</w:t>
      </w:r>
      <w:r>
        <w:rPr>
          <w:rFonts w:hint="eastAsia" w:ascii="仿宋" w:hAnsi="仿宋" w:eastAsia="仿宋"/>
          <w:sz w:val="24"/>
        </w:rPr>
        <w:t>、</w:t>
      </w:r>
      <w:r>
        <w:rPr>
          <w:rFonts w:hint="eastAsia" w:ascii="仿宋" w:hAnsi="仿宋" w:eastAsia="仿宋" w:cs="仿宋"/>
          <w:sz w:val="24"/>
          <w:lang w:val="zh-CN"/>
        </w:rPr>
        <w:t>服务响应表；</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.5</w:t>
      </w:r>
      <w:r>
        <w:rPr>
          <w:rFonts w:hint="eastAsia" w:ascii="仿宋" w:hAnsi="仿宋" w:eastAsia="仿宋"/>
          <w:sz w:val="24"/>
        </w:rPr>
        <w:t>、</w:t>
      </w:r>
      <w:r>
        <w:rPr>
          <w:rFonts w:hint="eastAsia" w:ascii="仿宋" w:hAnsi="仿宋" w:eastAsia="仿宋" w:cs="仿宋"/>
          <w:sz w:val="24"/>
          <w:lang w:val="zh-CN"/>
        </w:rPr>
        <w:t>项目实施人员（主要从业人员及其技术资格）一览表；</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.6</w:t>
      </w:r>
      <w:r>
        <w:rPr>
          <w:rFonts w:hint="eastAsia" w:ascii="仿宋" w:hAnsi="仿宋" w:eastAsia="仿宋"/>
          <w:sz w:val="24"/>
        </w:rPr>
        <w:t>、</w:t>
      </w:r>
      <w:r>
        <w:rPr>
          <w:rFonts w:hint="eastAsia" w:ascii="仿宋" w:hAnsi="仿宋" w:eastAsia="仿宋" w:cs="仿宋"/>
          <w:sz w:val="24"/>
          <w:lang w:val="zh-CN"/>
        </w:rPr>
        <w:t>招标文件要求或者投标人认为其它应介绍或者提交的资料和文件。</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7、</w:t>
      </w:r>
      <w:r>
        <w:rPr>
          <w:rFonts w:hint="eastAsia" w:ascii="仿宋" w:hAnsi="仿宋" w:eastAsia="仿宋" w:cs="仿宋"/>
          <w:sz w:val="24"/>
          <w:lang w:val="zh-CN"/>
        </w:rPr>
        <w:t>证明服务的合格性和符合招标文件规定的技术资料。</w:t>
      </w:r>
    </w:p>
    <w:p>
      <w:pPr>
        <w:autoSpaceDE w:val="0"/>
        <w:autoSpaceDN w:val="0"/>
        <w:adjustRightInd w:val="0"/>
        <w:spacing w:line="360" w:lineRule="auto"/>
        <w:ind w:firstLine="482"/>
        <w:rPr>
          <w:rFonts w:ascii="仿宋" w:hAnsi="仿宋" w:eastAsia="仿宋"/>
          <w:sz w:val="24"/>
          <w:lang w:val="zh-CN"/>
        </w:rPr>
      </w:pPr>
      <w:r>
        <w:rPr>
          <w:rFonts w:hint="eastAsia" w:ascii="仿宋" w:hAnsi="仿宋" w:eastAsia="仿宋"/>
          <w:sz w:val="24"/>
        </w:rPr>
        <w:t>4.8、</w:t>
      </w:r>
      <w:r>
        <w:rPr>
          <w:rFonts w:hint="eastAsia" w:ascii="仿宋" w:hAnsi="仿宋" w:eastAsia="仿宋" w:cs="仿宋"/>
          <w:sz w:val="24"/>
          <w:lang w:val="zh-CN"/>
        </w:rPr>
        <w:t>证明服务与招标文件要求相一致的文件可以是文字资料、图纸和数据，主要包括内容：</w:t>
      </w:r>
    </w:p>
    <w:p>
      <w:pPr>
        <w:autoSpaceDE w:val="0"/>
        <w:autoSpaceDN w:val="0"/>
        <w:adjustRightInd w:val="0"/>
        <w:spacing w:line="360" w:lineRule="auto"/>
        <w:ind w:firstLine="482"/>
        <w:rPr>
          <w:rFonts w:ascii="仿宋" w:hAnsi="仿宋" w:eastAsia="仿宋"/>
          <w:sz w:val="24"/>
        </w:rPr>
      </w:pPr>
      <w:r>
        <w:rPr>
          <w:rFonts w:hint="eastAsia" w:ascii="仿宋" w:hAnsi="仿宋" w:eastAsia="仿宋" w:cs="仿宋"/>
          <w:sz w:val="24"/>
          <w:lang w:val="zh-CN"/>
        </w:rPr>
        <w:t>（1）服务主要内容、指标要求；</w:t>
      </w:r>
    </w:p>
    <w:p>
      <w:pPr>
        <w:autoSpaceDE w:val="0"/>
        <w:autoSpaceDN w:val="0"/>
        <w:adjustRightInd w:val="0"/>
        <w:spacing w:line="360" w:lineRule="auto"/>
        <w:ind w:firstLine="482"/>
        <w:rPr>
          <w:rFonts w:ascii="仿宋" w:hAnsi="仿宋" w:eastAsia="仿宋"/>
          <w:sz w:val="24"/>
        </w:rPr>
      </w:pPr>
      <w:r>
        <w:rPr>
          <w:rFonts w:hint="eastAsia" w:ascii="仿宋" w:hAnsi="仿宋" w:eastAsia="仿宋" w:cs="仿宋"/>
          <w:sz w:val="24"/>
          <w:lang w:val="zh-CN"/>
        </w:rPr>
        <w:t>（2）保证在服务期内正常、连续使用所必须的备品备件和专用工具清单；</w:t>
      </w:r>
    </w:p>
    <w:p>
      <w:pPr>
        <w:autoSpaceDE w:val="0"/>
        <w:autoSpaceDN w:val="0"/>
        <w:adjustRightInd w:val="0"/>
        <w:spacing w:line="360" w:lineRule="auto"/>
        <w:ind w:firstLine="482"/>
        <w:rPr>
          <w:rFonts w:ascii="仿宋" w:hAnsi="仿宋" w:eastAsia="仿宋"/>
          <w:sz w:val="24"/>
        </w:rPr>
      </w:pPr>
      <w:r>
        <w:rPr>
          <w:rFonts w:hint="eastAsia" w:ascii="仿宋" w:hAnsi="仿宋" w:eastAsia="仿宋" w:cs="仿宋"/>
          <w:sz w:val="24"/>
          <w:lang w:val="zh-CN"/>
        </w:rPr>
        <w:t>（3）对照招标文件服务要求，逐条说明所提供服务是否做出了实质性响应，</w:t>
      </w:r>
      <w:r>
        <w:rPr>
          <w:rStyle w:val="19"/>
          <w:rFonts w:hint="eastAsia"/>
          <w:sz w:val="24"/>
        </w:rPr>
        <w:t>并按照招标文件中</w:t>
      </w:r>
      <w:r>
        <w:rPr>
          <w:rFonts w:hint="eastAsia" w:ascii="仿宋" w:hAnsi="仿宋" w:eastAsia="仿宋" w:cs="仿宋"/>
          <w:sz w:val="24"/>
          <w:lang w:val="zh-CN"/>
        </w:rPr>
        <w:t>服务响应表和资信以及商务响应表如实填写具体响应的参数以及要求。招标人只接受相同或者优于技术、商务条款中所规定的要求以及标准。投标人若采用欺骗手段提报虚假资料和承诺的，一经发现，其投标无效，并按照相关法律法规进行处罚。</w:t>
      </w:r>
    </w:p>
    <w:p>
      <w:pPr>
        <w:autoSpaceDE w:val="0"/>
        <w:autoSpaceDN w:val="0"/>
        <w:adjustRightInd w:val="0"/>
        <w:spacing w:line="360" w:lineRule="auto"/>
        <w:ind w:firstLine="482"/>
        <w:rPr>
          <w:rFonts w:ascii="仿宋" w:hAnsi="仿宋" w:eastAsia="仿宋"/>
          <w:sz w:val="24"/>
        </w:rPr>
      </w:pPr>
      <w:r>
        <w:rPr>
          <w:rFonts w:hint="eastAsia" w:ascii="仿宋" w:hAnsi="仿宋" w:eastAsia="仿宋" w:cs="仿宋"/>
          <w:sz w:val="24"/>
          <w:lang w:val="zh-CN"/>
        </w:rPr>
        <w:t>（4）投标人在详细阐述服务主要内容、指标要求时，应注意招标文件第四章</w:t>
      </w:r>
      <w:r>
        <w:rPr>
          <w:rFonts w:ascii="仿宋" w:hAnsi="仿宋" w:eastAsia="仿宋" w:cs="仿宋"/>
          <w:sz w:val="24"/>
          <w:lang w:val="zh-CN"/>
        </w:rPr>
        <w:t>“</w:t>
      </w:r>
      <w:r>
        <w:rPr>
          <w:rFonts w:hint="eastAsia" w:ascii="仿宋" w:hAnsi="仿宋" w:eastAsia="仿宋" w:cs="仿宋"/>
          <w:sz w:val="24"/>
          <w:lang w:val="zh-CN"/>
        </w:rPr>
        <w:t>采购需求</w:t>
      </w:r>
      <w:r>
        <w:rPr>
          <w:rFonts w:ascii="仿宋" w:hAnsi="仿宋" w:eastAsia="仿宋" w:cs="仿宋"/>
          <w:sz w:val="24"/>
          <w:lang w:val="zh-CN"/>
        </w:rPr>
        <w:t>”</w:t>
      </w:r>
      <w:r>
        <w:rPr>
          <w:rFonts w:hint="eastAsia" w:ascii="仿宋" w:hAnsi="仿宋" w:eastAsia="仿宋" w:cs="仿宋"/>
          <w:sz w:val="24"/>
          <w:lang w:val="zh-CN"/>
        </w:rPr>
        <w:t>中的规定以及要求。</w:t>
      </w:r>
    </w:p>
    <w:p>
      <w:pPr>
        <w:autoSpaceDE w:val="0"/>
        <w:autoSpaceDN w:val="0"/>
        <w:adjustRightInd w:val="0"/>
        <w:spacing w:line="360" w:lineRule="auto"/>
        <w:ind w:firstLine="480"/>
        <w:rPr>
          <w:rFonts w:ascii="仿宋" w:hAnsi="仿宋" w:eastAsia="仿宋"/>
          <w:sz w:val="24"/>
        </w:rPr>
      </w:pPr>
      <w:r>
        <w:rPr>
          <w:rFonts w:hint="eastAsia" w:ascii="仿宋" w:hAnsi="仿宋" w:eastAsia="仿宋" w:cs="仿宋"/>
          <w:sz w:val="24"/>
          <w:lang w:val="zh-CN"/>
        </w:rPr>
        <w:t>（5）投标人必须对所提供的服务等知识产权方面的一切产权关系负全部责任，由此而引起的法律纠纷以及费用投标人须全部承担。</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、资格、资信等证明文件及电子版投标文件</w:t>
      </w:r>
    </w:p>
    <w:p>
      <w:pPr>
        <w:spacing w:line="360" w:lineRule="auto"/>
        <w:ind w:firstLine="480" w:firstLineChars="200"/>
        <w:rPr>
          <w:rFonts w:ascii="仿宋" w:hAnsi="仿宋" w:eastAsia="仿宋"/>
          <w:sz w:val="24"/>
        </w:rPr>
      </w:pPr>
      <w:r>
        <w:rPr>
          <w:rFonts w:ascii="仿宋" w:hAnsi="仿宋" w:eastAsia="仿宋"/>
          <w:sz w:val="24"/>
        </w:rPr>
        <w:t>5.1</w:t>
      </w:r>
      <w:r>
        <w:rPr>
          <w:rFonts w:hint="eastAsia" w:ascii="仿宋" w:hAnsi="仿宋" w:eastAsia="仿宋"/>
          <w:sz w:val="24"/>
        </w:rPr>
        <w:t>、资格、资信等证明文件详见招标文件第三章“投标人需提交的资格、资信等证明文件”的要求。</w:t>
      </w:r>
    </w:p>
    <w:p>
      <w:pPr>
        <w:spacing w:line="360" w:lineRule="auto"/>
        <w:ind w:firstLine="480" w:firstLineChars="200"/>
        <w:rPr>
          <w:rFonts w:ascii="仿宋" w:hAnsi="仿宋" w:eastAsia="仿宋"/>
          <w:sz w:val="24"/>
        </w:rPr>
      </w:pPr>
      <w:r>
        <w:rPr>
          <w:rFonts w:ascii="仿宋" w:hAnsi="仿宋" w:eastAsia="仿宋"/>
          <w:sz w:val="24"/>
        </w:rPr>
        <w:t>5.2</w:t>
      </w:r>
      <w:r>
        <w:rPr>
          <w:rFonts w:hint="eastAsia" w:ascii="仿宋" w:hAnsi="仿宋" w:eastAsia="仿宋"/>
          <w:sz w:val="24"/>
        </w:rPr>
        <w:t>、电子版投标文件内容为技术文件、商务文件要求的内容。</w:t>
      </w:r>
    </w:p>
    <w:p>
      <w:pPr>
        <w:spacing w:line="360" w:lineRule="auto"/>
        <w:ind w:firstLine="480" w:firstLineChars="200"/>
        <w:rPr>
          <w:rFonts w:ascii="仿宋" w:hAnsi="仿宋" w:eastAsia="仿宋"/>
          <w:sz w:val="24"/>
        </w:rPr>
      </w:pPr>
      <w:r>
        <w:rPr>
          <w:rFonts w:ascii="仿宋" w:hAnsi="仿宋" w:eastAsia="仿宋"/>
          <w:sz w:val="24"/>
        </w:rPr>
        <w:t>5.3</w:t>
      </w:r>
      <w:r>
        <w:rPr>
          <w:rFonts w:hint="eastAsia" w:ascii="仿宋" w:hAnsi="仿宋" w:eastAsia="仿宋"/>
          <w:sz w:val="24"/>
        </w:rPr>
        <w:t>、电子版投标文件作为投标文件的一部分，均不退回。</w:t>
      </w:r>
    </w:p>
    <w:p>
      <w:pPr>
        <w:spacing w:line="360" w:lineRule="auto"/>
        <w:ind w:firstLine="480" w:firstLineChars="200"/>
        <w:outlineLvl w:val="1"/>
        <w:rPr>
          <w:rFonts w:ascii="仿宋" w:hAnsi="仿宋" w:eastAsia="仿宋"/>
          <w:sz w:val="24"/>
        </w:rPr>
      </w:pPr>
      <w:bookmarkStart w:id="38" w:name="_Toc436169023"/>
      <w:bookmarkStart w:id="39" w:name="_Toc518288113"/>
      <w:r>
        <w:rPr>
          <w:rFonts w:hint="eastAsia" w:ascii="仿宋" w:hAnsi="仿宋" w:eastAsia="仿宋"/>
          <w:sz w:val="24"/>
        </w:rPr>
        <w:t>十一、投标报价</w:t>
      </w:r>
      <w:bookmarkEnd w:id="38"/>
      <w:bookmarkEnd w:id="39"/>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、投标报价的范围：</w:t>
      </w:r>
      <w:r>
        <w:rPr>
          <w:rFonts w:hint="eastAsia" w:ascii="仿宋" w:hAnsi="仿宋" w:eastAsia="仿宋" w:cs="仿宋"/>
          <w:sz w:val="24"/>
          <w:lang w:val="zh-CN"/>
        </w:rPr>
        <w:t>含税全包价，包含提供相关服务的所有费用</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2、投标人应对所投包中的服务进行报价，对每一包服务的报价必须全部报齐。</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投标报价的次数：</w:t>
      </w:r>
      <w:r>
        <w:rPr>
          <w:rFonts w:hint="eastAsia" w:ascii="仿宋" w:hAnsi="仿宋" w:eastAsia="仿宋"/>
          <w:sz w:val="24"/>
        </w:rPr>
        <w:t>本次投标报价为一次不得更改报价，投标人只有一次报价的机会。投标报价（即开标报价）不得有选择性报价和附有条件的报价，且不得高于采购预算</w:t>
      </w:r>
      <w:r>
        <w:rPr>
          <w:rFonts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、投标人不得以任何方式或者方法提供投标以外的任何附赠条款。</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、投标人应按照招标文件中要求的内容填写报价，并由法定代表人或者被授权代表签署。</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、投标人须按照附件格式表中的各单项明细逐项填写，以方便评标委员会对各投标文件进行比较。</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开标时，投标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投标文件的解释发生异议的，以中文文本为准。按照以上原则对错误报价的修正，投标人应签字确认。</w:t>
      </w:r>
    </w:p>
    <w:p>
      <w:pPr>
        <w:spacing w:line="36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、投标人的中标价格在合同执行中是固定不变的，不得以任何理由予以变更，不得出现任何包含价格调整的要求。</w:t>
      </w:r>
    </w:p>
    <w:p>
      <w:pPr>
        <w:spacing w:line="360" w:lineRule="auto"/>
        <w:ind w:firstLine="480" w:firstLineChars="200"/>
        <w:outlineLvl w:val="1"/>
        <w:rPr>
          <w:rFonts w:ascii="仿宋" w:hAnsi="仿宋" w:eastAsia="仿宋"/>
          <w:sz w:val="24"/>
        </w:rPr>
      </w:pPr>
      <w:bookmarkStart w:id="40" w:name="_Toc436169024"/>
      <w:bookmarkStart w:id="41" w:name="_Toc518288114"/>
      <w:r>
        <w:rPr>
          <w:rFonts w:hint="eastAsia" w:ascii="仿宋" w:hAnsi="仿宋" w:eastAsia="仿宋"/>
          <w:sz w:val="24"/>
        </w:rPr>
        <w:t>十二、投标文件格式以及编制要求</w:t>
      </w:r>
      <w:bookmarkEnd w:id="40"/>
      <w:bookmarkEnd w:id="41"/>
    </w:p>
    <w:p>
      <w:pPr>
        <w:spacing w:line="360" w:lineRule="auto"/>
        <w:ind w:firstLine="480" w:firstLineChars="200"/>
        <w:rPr>
          <w:rFonts w:ascii="仿宋" w:hAnsi="仿宋" w:eastAsia="仿宋" w:cs="仿宋"/>
          <w:kern w:val="1"/>
          <w:sz w:val="24"/>
        </w:rPr>
      </w:pPr>
      <w:r>
        <w:rPr>
          <w:rFonts w:ascii="仿宋" w:hAnsi="仿宋" w:eastAsia="仿宋" w:cs="仿宋"/>
          <w:kern w:val="1"/>
          <w:sz w:val="24"/>
        </w:rPr>
        <w:t>1</w:t>
      </w:r>
      <w:r>
        <w:rPr>
          <w:rFonts w:hint="eastAsia" w:ascii="仿宋" w:hAnsi="仿宋" w:eastAsia="仿宋" w:cs="仿宋"/>
          <w:kern w:val="1"/>
          <w:sz w:val="24"/>
        </w:rPr>
        <w:t>、投标文件应按所投包分别进行编制。</w:t>
      </w:r>
    </w:p>
    <w:p>
      <w:pPr>
        <w:spacing w:line="360" w:lineRule="auto"/>
        <w:ind w:firstLine="480" w:firstLineChars="200"/>
        <w:rPr>
          <w:rFonts w:ascii="仿宋" w:hAnsi="仿宋" w:eastAsia="仿宋" w:cs="仿宋"/>
          <w:kern w:val="1"/>
          <w:sz w:val="24"/>
        </w:rPr>
      </w:pPr>
      <w:r>
        <w:rPr>
          <w:rFonts w:ascii="仿宋" w:hAnsi="仿宋" w:eastAsia="仿宋" w:cs="仿宋"/>
          <w:kern w:val="1"/>
          <w:sz w:val="24"/>
        </w:rPr>
        <w:t>2</w:t>
      </w:r>
      <w:r>
        <w:rPr>
          <w:rFonts w:hint="eastAsia" w:ascii="仿宋" w:hAnsi="仿宋" w:eastAsia="仿宋" w:cs="仿宋"/>
          <w:kern w:val="1"/>
          <w:sz w:val="24"/>
        </w:rPr>
        <w:t>、投标文件编制装订：</w:t>
      </w:r>
    </w:p>
    <w:p>
      <w:pPr>
        <w:spacing w:line="360" w:lineRule="auto"/>
        <w:ind w:firstLine="480" w:firstLineChars="200"/>
        <w:rPr>
          <w:rFonts w:ascii="仿宋" w:hAnsi="仿宋" w:eastAsia="仿宋" w:cs="仿宋"/>
          <w:kern w:val="1"/>
          <w:sz w:val="24"/>
        </w:rPr>
      </w:pPr>
      <w:r>
        <w:rPr>
          <w:rFonts w:hint="eastAsia" w:ascii="仿宋" w:hAnsi="仿宋" w:eastAsia="仿宋"/>
          <w:sz w:val="24"/>
        </w:rPr>
        <w:t>（1）</w:t>
      </w:r>
      <w:r>
        <w:rPr>
          <w:rFonts w:hint="eastAsia" w:ascii="仿宋" w:hAnsi="仿宋" w:eastAsia="仿宋" w:cs="仿宋"/>
          <w:b/>
          <w:sz w:val="24"/>
          <w:lang w:val="zh-CN"/>
        </w:rPr>
        <w:t>投标文件的商务部分和技术部分须胶装成一册</w:t>
      </w:r>
      <w:r>
        <w:rPr>
          <w:rFonts w:hint="eastAsia" w:ascii="仿宋" w:hAnsi="仿宋" w:eastAsia="仿宋" w:cs="仿宋"/>
          <w:sz w:val="24"/>
          <w:lang w:val="zh-CN"/>
        </w:rPr>
        <w:t>。（纸张超过500张可以分</w:t>
      </w:r>
      <w:r>
        <w:rPr>
          <w:rFonts w:hint="eastAsia" w:ascii="仿宋" w:hAnsi="仿宋" w:eastAsia="仿宋" w:cs="仿宋"/>
          <w:kern w:val="1"/>
          <w:sz w:val="24"/>
        </w:rPr>
        <w:t>上下册胶装）</w:t>
      </w:r>
    </w:p>
    <w:p>
      <w:pPr>
        <w:spacing w:line="360" w:lineRule="auto"/>
        <w:ind w:firstLine="480" w:firstLineChars="200"/>
        <w:rPr>
          <w:rFonts w:ascii="仿宋" w:hAnsi="仿宋" w:eastAsia="仿宋" w:cs="仿宋"/>
          <w:kern w:val="1"/>
          <w:sz w:val="24"/>
        </w:rPr>
      </w:pPr>
      <w:r>
        <w:rPr>
          <w:rFonts w:hint="eastAsia" w:ascii="仿宋" w:hAnsi="仿宋" w:eastAsia="仿宋"/>
          <w:sz w:val="24"/>
        </w:rPr>
        <w:t>（2）</w:t>
      </w:r>
      <w:r>
        <w:rPr>
          <w:rFonts w:hint="eastAsia" w:ascii="仿宋" w:hAnsi="仿宋" w:eastAsia="仿宋" w:cs="仿宋"/>
          <w:kern w:val="1"/>
          <w:sz w:val="24"/>
        </w:rPr>
        <w:t>封面设置。投标文件封面设置包括：投标文件、项目名称、项目编号、投标人全称和投标文件完成时间。投标人全称填写“×××公司”。</w:t>
      </w:r>
    </w:p>
    <w:p>
      <w:pPr>
        <w:spacing w:line="360" w:lineRule="auto"/>
        <w:ind w:firstLine="480" w:firstLineChars="200"/>
        <w:rPr>
          <w:rFonts w:ascii="仿宋" w:hAnsi="仿宋" w:eastAsia="仿宋" w:cs="仿宋"/>
          <w:kern w:val="1"/>
          <w:sz w:val="24"/>
        </w:rPr>
      </w:pPr>
      <w:r>
        <w:rPr>
          <w:rFonts w:hint="eastAsia" w:ascii="仿宋" w:hAnsi="仿宋" w:eastAsia="仿宋"/>
          <w:sz w:val="24"/>
        </w:rPr>
        <w:t>（3）</w:t>
      </w:r>
      <w:r>
        <w:rPr>
          <w:rFonts w:hint="eastAsia" w:ascii="仿宋" w:hAnsi="仿宋" w:eastAsia="仿宋" w:cs="仿宋"/>
          <w:kern w:val="1"/>
          <w:sz w:val="24"/>
        </w:rPr>
        <w:t>投标文件内容。投标人应按照招标文件的要求编写投标文件；对招标文件要求填写的表格或者资料不得缺少或者留空，投标文件不得加行、涂改、插字或者删除。</w:t>
      </w:r>
    </w:p>
    <w:p>
      <w:pPr>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cs="仿宋"/>
          <w:kern w:val="1"/>
          <w:sz w:val="24"/>
        </w:rPr>
        <w:t>投标文件正文用白色A4复印纸双面打印，并编制目录，目录、内容标注连续页码，页码从目录编起，标注于页面底部居中位置；产品授权书、</w:t>
      </w:r>
      <w:r>
        <w:rPr>
          <w:rFonts w:hint="eastAsia" w:ascii="仿宋" w:hAnsi="仿宋" w:eastAsia="仿宋" w:cs="仿宋"/>
          <w:sz w:val="24"/>
          <w:lang w:val="zh-CN"/>
        </w:rPr>
        <w:t>产品说明书、产品彩页、图纸、图片等非文本形式的内容，可以不标注页码，应将这些材料放置在技术文件中，折叠成</w:t>
      </w:r>
      <w:r>
        <w:rPr>
          <w:rFonts w:ascii="仿宋" w:hAnsi="仿宋" w:eastAsia="仿宋" w:cs="仿宋"/>
          <w:sz w:val="24"/>
          <w:lang w:val="zh-CN"/>
        </w:rPr>
        <w:t>A4</w:t>
      </w:r>
      <w:r>
        <w:rPr>
          <w:rFonts w:hint="eastAsia" w:ascii="仿宋" w:hAnsi="仿宋" w:eastAsia="仿宋" w:cs="仿宋"/>
          <w:sz w:val="24"/>
          <w:lang w:val="zh-CN"/>
        </w:rPr>
        <w:t>纸面大小，左、下侧对齐，左侧胶装成册。</w:t>
      </w:r>
      <w:r>
        <w:rPr>
          <w:rFonts w:hint="eastAsia" w:ascii="仿宋" w:hAnsi="仿宋" w:eastAsia="仿宋"/>
          <w:sz w:val="24"/>
        </w:rPr>
        <w:t>。</w:t>
      </w:r>
    </w:p>
    <w:p>
      <w:pPr>
        <w:spacing w:line="360" w:lineRule="auto"/>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w:t>
      </w:r>
      <w:r>
        <w:rPr>
          <w:rFonts w:ascii="仿宋" w:hAnsi="仿宋" w:eastAsia="仿宋" w:cs="仿宋"/>
          <w:sz w:val="24"/>
          <w:lang w:val="zh-CN"/>
        </w:rPr>
        <w:t>投标文件签署和盖章：</w:t>
      </w:r>
    </w:p>
    <w:p>
      <w:pPr>
        <w:spacing w:line="360" w:lineRule="auto"/>
        <w:ind w:firstLine="480" w:firstLineChars="200"/>
        <w:rPr>
          <w:rFonts w:ascii="仿宋" w:hAnsi="仿宋" w:eastAsia="仿宋" w:cs="仿宋"/>
          <w:sz w:val="24"/>
          <w:lang w:val="zh-CN"/>
        </w:rPr>
      </w:pPr>
      <w:r>
        <w:rPr>
          <w:rFonts w:hint="eastAsia" w:ascii="仿宋" w:hAnsi="仿宋" w:eastAsia="仿宋"/>
          <w:sz w:val="24"/>
        </w:rPr>
        <w:t>（1）</w:t>
      </w:r>
      <w:r>
        <w:rPr>
          <w:rFonts w:hint="eastAsia" w:ascii="仿宋" w:hAnsi="仿宋" w:eastAsia="仿宋" w:cs="仿宋"/>
          <w:sz w:val="24"/>
          <w:lang w:val="zh-CN"/>
        </w:rPr>
        <w:t>招标文件要求投标人法定代表人或者被授权代表签字处，均须本人用黑色签字笔签署（包括姓和名）并加盖单位公章，不得用签名章、签字章等代替，也不得由他人代签。</w:t>
      </w:r>
    </w:p>
    <w:p>
      <w:pPr>
        <w:spacing w:line="360" w:lineRule="auto"/>
        <w:ind w:firstLine="480" w:firstLineChars="200"/>
        <w:rPr>
          <w:rFonts w:ascii="仿宋" w:hAnsi="仿宋" w:eastAsia="仿宋" w:cs="仿宋"/>
          <w:sz w:val="24"/>
          <w:lang w:val="zh-CN"/>
        </w:rPr>
      </w:pPr>
      <w:r>
        <w:rPr>
          <w:rFonts w:hint="eastAsia" w:ascii="仿宋" w:hAnsi="仿宋" w:eastAsia="仿宋"/>
          <w:sz w:val="24"/>
        </w:rPr>
        <w:t>（2）</w:t>
      </w:r>
      <w:r>
        <w:rPr>
          <w:rFonts w:hint="eastAsia" w:ascii="仿宋" w:hAnsi="仿宋" w:eastAsia="仿宋" w:cs="仿宋"/>
          <w:sz w:val="24"/>
          <w:lang w:val="zh-CN"/>
        </w:rPr>
        <w:t>被授权代表人签字的，投标文件应附法人授权委托书。</w:t>
      </w:r>
    </w:p>
    <w:p>
      <w:pPr>
        <w:spacing w:line="360" w:lineRule="auto"/>
        <w:ind w:firstLine="480" w:firstLineChars="200"/>
        <w:rPr>
          <w:rFonts w:ascii="仿宋" w:hAnsi="仿宋" w:eastAsia="仿宋" w:cs="仿宋"/>
          <w:sz w:val="24"/>
          <w:lang w:val="zh-CN"/>
        </w:rPr>
      </w:pPr>
      <w:r>
        <w:rPr>
          <w:rFonts w:hint="eastAsia" w:ascii="仿宋" w:hAnsi="仿宋" w:eastAsia="仿宋"/>
          <w:sz w:val="24"/>
        </w:rPr>
        <w:t>（3）</w:t>
      </w:r>
      <w:r>
        <w:rPr>
          <w:rFonts w:hint="eastAsia" w:ascii="仿宋" w:hAnsi="仿宋" w:eastAsia="仿宋" w:cs="仿宋"/>
          <w:sz w:val="24"/>
          <w:lang w:val="zh-CN"/>
        </w:rPr>
        <w:t>“投标函”、“法人授权委托书”和“政府采购诚信承诺书”必须由法定代表人签署。</w:t>
      </w:r>
    </w:p>
    <w:p>
      <w:pPr>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cs="仿宋"/>
          <w:sz w:val="24"/>
          <w:lang w:val="zh-CN"/>
        </w:rPr>
        <w:t>投标人在投标文件以及相关书面文件中的单位盖章（包括印章、公章等）均指与投标人名称全称相一致的标准公章，不得使用其他形式（如带有“专用章”、“合同章”、“财务章”、“业务章”等）的印章。</w:t>
      </w:r>
      <w:r>
        <w:rPr>
          <w:rFonts w:hint="eastAsia"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、投标人可对服务现场以及其范围环境进行考察，以获取有关编制投标文件和签署实施合同所需的各项资料，投标人应承担现场考察的费用、责任和风险。</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、投标人编制投标文件时，应当如实在服务响应表和资信以及商务响应表中填写响应情况。</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、投标文件份数及要求：</w:t>
      </w:r>
    </w:p>
    <w:p>
      <w:pPr>
        <w:spacing w:line="360" w:lineRule="auto"/>
        <w:ind w:firstLine="480" w:firstLineChars="200"/>
        <w:rPr>
          <w:rFonts w:ascii="仿宋" w:hAnsi="仿宋" w:eastAsia="仿宋"/>
          <w:sz w:val="24"/>
        </w:rPr>
      </w:pPr>
      <w:r>
        <w:rPr>
          <w:rFonts w:hint="eastAsia" w:ascii="仿宋" w:hAnsi="仿宋" w:eastAsia="仿宋"/>
          <w:sz w:val="24"/>
        </w:rPr>
        <w:t>投标文件应按包分别进行编制：</w:t>
      </w:r>
    </w:p>
    <w:p>
      <w:pPr>
        <w:spacing w:line="360" w:lineRule="auto"/>
        <w:ind w:firstLine="480" w:firstLineChars="200"/>
        <w:rPr>
          <w:rFonts w:ascii="仿宋" w:hAnsi="仿宋" w:eastAsia="仿宋"/>
          <w:sz w:val="24"/>
        </w:rPr>
      </w:pPr>
      <w:r>
        <w:rPr>
          <w:rFonts w:hint="eastAsia" w:ascii="仿宋" w:hAnsi="仿宋" w:eastAsia="仿宋"/>
          <w:sz w:val="24"/>
        </w:rPr>
        <w:t>（1）投标文件正本壹份，副本三份。正本和副本的封面上应当清楚地标记“正本”或者“副本”字样；正本和副本不一致时，以正本为准。</w:t>
      </w:r>
    </w:p>
    <w:p>
      <w:pPr>
        <w:spacing w:line="360" w:lineRule="auto"/>
        <w:ind w:firstLine="480" w:firstLineChars="200"/>
        <w:rPr>
          <w:rFonts w:ascii="仿宋" w:hAnsi="仿宋" w:eastAsia="仿宋"/>
          <w:sz w:val="24"/>
        </w:rPr>
      </w:pPr>
      <w:r>
        <w:rPr>
          <w:rFonts w:hint="eastAsia" w:ascii="仿宋" w:hAnsi="仿宋" w:eastAsia="仿宋"/>
          <w:sz w:val="24"/>
        </w:rPr>
        <w:t>（2）资格、资信等证明文件；</w:t>
      </w:r>
    </w:p>
    <w:p>
      <w:pPr>
        <w:spacing w:line="360" w:lineRule="auto"/>
        <w:ind w:firstLine="480" w:firstLineChars="200"/>
        <w:rPr>
          <w:rFonts w:ascii="仿宋" w:hAnsi="仿宋" w:eastAsia="仿宋"/>
          <w:sz w:val="24"/>
        </w:rPr>
      </w:pPr>
      <w:r>
        <w:rPr>
          <w:rFonts w:hint="eastAsia" w:ascii="仿宋" w:hAnsi="仿宋" w:eastAsia="仿宋"/>
          <w:sz w:val="24"/>
        </w:rPr>
        <w:t>（3）电子版投标文件壹套：内容与纸质投标文件正本一致，格式：</w:t>
      </w:r>
      <w:r>
        <w:rPr>
          <w:rFonts w:ascii="仿宋" w:hAnsi="仿宋" w:eastAsia="仿宋"/>
          <w:sz w:val="24"/>
        </w:rPr>
        <w:t>PDF</w:t>
      </w:r>
      <w:r>
        <w:rPr>
          <w:rFonts w:hint="eastAsia" w:ascii="仿宋" w:hAnsi="仿宋" w:eastAsia="仿宋"/>
          <w:sz w:val="24"/>
        </w:rPr>
        <w:t>格式；介质：“</w:t>
      </w:r>
      <w:r>
        <w:rPr>
          <w:rFonts w:ascii="仿宋" w:hAnsi="仿宋" w:eastAsia="仿宋"/>
          <w:sz w:val="24"/>
        </w:rPr>
        <w:t>U</w:t>
      </w:r>
      <w:r>
        <w:rPr>
          <w:rFonts w:hint="eastAsia" w:ascii="仿宋" w:hAnsi="仿宋" w:eastAsia="仿宋"/>
          <w:sz w:val="24"/>
        </w:rPr>
        <w:t>”盘或者光盘。。</w:t>
      </w:r>
    </w:p>
    <w:p>
      <w:pPr>
        <w:spacing w:line="360" w:lineRule="auto"/>
        <w:ind w:firstLine="480" w:firstLineChars="200"/>
        <w:outlineLvl w:val="1"/>
        <w:rPr>
          <w:rFonts w:ascii="仿宋" w:hAnsi="仿宋" w:eastAsia="仿宋"/>
          <w:sz w:val="24"/>
        </w:rPr>
      </w:pPr>
      <w:bookmarkStart w:id="42" w:name="_Toc518288115"/>
      <w:bookmarkStart w:id="43" w:name="_Toc436169025"/>
      <w:r>
        <w:rPr>
          <w:rFonts w:hint="eastAsia" w:ascii="仿宋" w:hAnsi="仿宋" w:eastAsia="仿宋"/>
          <w:sz w:val="24"/>
        </w:rPr>
        <w:t>十三、投标文件的密封和标记</w:t>
      </w:r>
      <w:bookmarkEnd w:id="42"/>
      <w:bookmarkEnd w:id="43"/>
    </w:p>
    <w:p>
      <w:pPr>
        <w:spacing w:line="360" w:lineRule="auto"/>
        <w:ind w:firstLine="480" w:firstLineChars="200"/>
        <w:rPr>
          <w:rFonts w:ascii="仿宋" w:hAnsi="仿宋" w:eastAsia="仿宋"/>
          <w:sz w:val="24"/>
        </w:rPr>
      </w:pPr>
      <w:bookmarkStart w:id="44" w:name="_Toc518288116"/>
      <w:bookmarkStart w:id="45" w:name="_Toc436169026"/>
      <w:r>
        <w:rPr>
          <w:rFonts w:hint="eastAsia" w:ascii="仿宋" w:hAnsi="仿宋" w:eastAsia="仿宋"/>
          <w:sz w:val="24"/>
        </w:rPr>
        <w:t>1.一个包三个密封件，分别是：报价一览表密封件、投标文件密封件、资格资信等证明文件密封件（包括电子版投标文件）；注：一个密封件确实无法密封的，可分开密封；</w:t>
      </w:r>
    </w:p>
    <w:p>
      <w:pPr>
        <w:spacing w:line="360" w:lineRule="auto"/>
        <w:ind w:firstLine="480" w:firstLineChars="200"/>
        <w:rPr>
          <w:rFonts w:ascii="仿宋" w:hAnsi="仿宋" w:eastAsia="仿宋"/>
          <w:sz w:val="24"/>
        </w:rPr>
      </w:pPr>
      <w:r>
        <w:rPr>
          <w:rFonts w:hint="eastAsia" w:ascii="仿宋" w:hAnsi="仿宋" w:eastAsia="仿宋"/>
          <w:sz w:val="24"/>
        </w:rPr>
        <w:t>对于投多个包的投标人，资格、资信等证明文件可密封为一个密封件。</w:t>
      </w:r>
    </w:p>
    <w:p>
      <w:pPr>
        <w:spacing w:line="360" w:lineRule="auto"/>
        <w:ind w:firstLine="480" w:firstLineChars="200"/>
        <w:rPr>
          <w:rFonts w:ascii="仿宋" w:hAnsi="仿宋" w:eastAsia="仿宋"/>
          <w:sz w:val="24"/>
        </w:rPr>
      </w:pPr>
      <w:r>
        <w:rPr>
          <w:rFonts w:hint="eastAsia" w:ascii="仿宋" w:hAnsi="仿宋" w:eastAsia="仿宋"/>
          <w:sz w:val="24"/>
        </w:rPr>
        <w:t>2.密封件封套上标明招标项目编号、项目名称以及包、投标人名称等，在所有封签处标注“请勿在2022年09月21日14时30分之前启封”字样，并加盖投标人单位公章以及法定代表人或者被授权代表签字。</w:t>
      </w:r>
    </w:p>
    <w:p>
      <w:pPr>
        <w:spacing w:line="360" w:lineRule="auto"/>
        <w:ind w:firstLine="480" w:firstLineChars="200"/>
        <w:rPr>
          <w:rFonts w:ascii="仿宋" w:hAnsi="仿宋" w:eastAsia="仿宋"/>
          <w:sz w:val="24"/>
        </w:rPr>
      </w:pPr>
      <w:r>
        <w:rPr>
          <w:rFonts w:hint="eastAsia" w:ascii="仿宋" w:hAnsi="仿宋" w:eastAsia="仿宋"/>
          <w:sz w:val="24"/>
        </w:rPr>
        <w:t>3．法定代表人身份证明原件和本人身份证原件或法定代表人授权委托书原件和本人身份证原件应当在递交投标文件时出示并提交，不允许放在密封件中。</w:t>
      </w:r>
    </w:p>
    <w:p>
      <w:pPr>
        <w:spacing w:line="360" w:lineRule="auto"/>
        <w:ind w:firstLine="480" w:firstLineChars="200"/>
        <w:outlineLvl w:val="1"/>
        <w:rPr>
          <w:rFonts w:ascii="仿宋" w:hAnsi="仿宋" w:eastAsia="仿宋"/>
          <w:sz w:val="24"/>
        </w:rPr>
      </w:pPr>
      <w:r>
        <w:rPr>
          <w:rFonts w:hint="eastAsia" w:ascii="仿宋" w:hAnsi="仿宋" w:eastAsia="仿宋"/>
          <w:sz w:val="24"/>
        </w:rPr>
        <w:t>十四、投标文件的递交</w:t>
      </w:r>
      <w:bookmarkEnd w:id="44"/>
      <w:bookmarkEnd w:id="45"/>
    </w:p>
    <w:p>
      <w:pPr>
        <w:spacing w:line="360" w:lineRule="auto"/>
        <w:ind w:firstLine="480" w:firstLineChars="200"/>
        <w:rPr>
          <w:rFonts w:ascii="仿宋" w:hAnsi="仿宋" w:eastAsia="仿宋"/>
          <w:sz w:val="24"/>
        </w:rPr>
      </w:pPr>
      <w:r>
        <w:rPr>
          <w:rFonts w:hint="eastAsia" w:ascii="仿宋" w:hAnsi="仿宋" w:eastAsia="仿宋"/>
          <w:sz w:val="24"/>
        </w:rPr>
        <w:t>1、投标人应在投标截止时间前递交投标文件。</w:t>
      </w:r>
    </w:p>
    <w:p>
      <w:pPr>
        <w:spacing w:line="360" w:lineRule="auto"/>
        <w:ind w:firstLine="480" w:firstLineChars="200"/>
        <w:rPr>
          <w:rFonts w:ascii="仿宋" w:hAnsi="仿宋" w:eastAsia="仿宋"/>
          <w:sz w:val="24"/>
        </w:rPr>
      </w:pPr>
      <w:r>
        <w:rPr>
          <w:rFonts w:hint="eastAsia" w:ascii="仿宋" w:hAnsi="仿宋" w:eastAsia="仿宋"/>
          <w:sz w:val="24"/>
        </w:rPr>
        <w:t>2、投标人递交投标文件的时间、地点和要求：见采购公告。</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、投标人有下列情况之一，招标人应当拒绝接收投标人的投标文件：</w:t>
      </w:r>
    </w:p>
    <w:p>
      <w:pPr>
        <w:spacing w:line="360" w:lineRule="auto"/>
        <w:ind w:firstLine="480" w:firstLineChars="200"/>
        <w:rPr>
          <w:rFonts w:ascii="仿宋" w:hAnsi="仿宋" w:eastAsia="仿宋"/>
          <w:sz w:val="24"/>
        </w:rPr>
      </w:pPr>
      <w:r>
        <w:rPr>
          <w:rFonts w:ascii="仿宋" w:hAnsi="仿宋" w:eastAsia="仿宋"/>
          <w:sz w:val="24"/>
        </w:rPr>
        <w:t>3.1</w:t>
      </w:r>
      <w:r>
        <w:rPr>
          <w:rFonts w:hint="eastAsia" w:ascii="仿宋" w:hAnsi="仿宋" w:eastAsia="仿宋"/>
          <w:sz w:val="24"/>
        </w:rPr>
        <w:t>、逾期送达的或者未送达指定地点的；</w:t>
      </w:r>
    </w:p>
    <w:p>
      <w:pPr>
        <w:spacing w:line="360" w:lineRule="auto"/>
        <w:ind w:firstLine="480" w:firstLineChars="200"/>
        <w:rPr>
          <w:rFonts w:ascii="仿宋" w:hAnsi="仿宋" w:eastAsia="仿宋"/>
          <w:sz w:val="24"/>
        </w:rPr>
      </w:pPr>
      <w:r>
        <w:rPr>
          <w:rFonts w:ascii="仿宋" w:hAnsi="仿宋" w:eastAsia="仿宋"/>
          <w:sz w:val="24"/>
        </w:rPr>
        <w:t>3.2</w:t>
      </w:r>
      <w:r>
        <w:rPr>
          <w:rFonts w:hint="eastAsia" w:ascii="仿宋" w:hAnsi="仿宋" w:eastAsia="仿宋"/>
          <w:sz w:val="24"/>
        </w:rPr>
        <w:t>、投标文件未按招标文件要求密封的。</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、除投标人须知另有规定外，不论招标过程和结果如何，投标人的投标文件均不退还。</w:t>
      </w:r>
    </w:p>
    <w:p>
      <w:pPr>
        <w:spacing w:line="360" w:lineRule="auto"/>
        <w:ind w:firstLine="480" w:firstLineChars="200"/>
        <w:outlineLvl w:val="1"/>
        <w:rPr>
          <w:rFonts w:ascii="仿宋" w:hAnsi="仿宋" w:eastAsia="仿宋"/>
          <w:sz w:val="24"/>
        </w:rPr>
      </w:pPr>
      <w:bookmarkStart w:id="46" w:name="_Toc518288117"/>
      <w:bookmarkStart w:id="47" w:name="_Toc436169027"/>
      <w:r>
        <w:rPr>
          <w:rFonts w:hint="eastAsia" w:ascii="仿宋" w:hAnsi="仿宋" w:eastAsia="仿宋"/>
          <w:sz w:val="24"/>
        </w:rPr>
        <w:t>十五、投标文件的修改与撤回</w:t>
      </w:r>
      <w:bookmarkEnd w:id="46"/>
      <w:bookmarkEnd w:id="47"/>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、投标人在招标文件要求提交投标文件截止时间前，可以补充、修改、替代或者撤回已提交的投标文件，并书面形式通知招标人。补充、修改的内容为投标文件的组成部分。</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、投标人对投标文件的补充、修改，应按照本招标文件有关规定进行编制、密封、标记、盖章和递交，并在投标文件密封袋上，清楚标明“修改投标文件”或者“撤回投标”字样。</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、在提交投标文件截止时间后到招标文件规定的投标有效期终止之前，投标人不得补充、修改、替代或者撤回其投标文件。投标人撤回全部或者部分投标文件的，其投标保证金将被没收。</w:t>
      </w:r>
    </w:p>
    <w:p>
      <w:pPr>
        <w:spacing w:line="360" w:lineRule="auto"/>
        <w:ind w:firstLine="480" w:firstLineChars="200"/>
        <w:outlineLvl w:val="1"/>
        <w:rPr>
          <w:rFonts w:ascii="仿宋" w:hAnsi="仿宋" w:eastAsia="仿宋"/>
          <w:sz w:val="24"/>
        </w:rPr>
      </w:pPr>
      <w:bookmarkStart w:id="48" w:name="_Toc518288118"/>
      <w:bookmarkStart w:id="49" w:name="_Toc436169028"/>
      <w:r>
        <w:rPr>
          <w:rFonts w:hint="eastAsia" w:ascii="仿宋" w:hAnsi="仿宋" w:eastAsia="仿宋"/>
          <w:sz w:val="24"/>
        </w:rPr>
        <w:t>十六、</w:t>
      </w:r>
      <w:bookmarkEnd w:id="48"/>
      <w:bookmarkEnd w:id="49"/>
      <w:bookmarkStart w:id="50" w:name="_Toc518288119"/>
      <w:bookmarkStart w:id="51" w:name="_Toc436169029"/>
      <w:r>
        <w:rPr>
          <w:rFonts w:hint="eastAsia" w:ascii="仿宋" w:hAnsi="仿宋" w:eastAsia="仿宋"/>
          <w:sz w:val="24"/>
        </w:rPr>
        <w:t>质疑</w:t>
      </w:r>
      <w:bookmarkEnd w:id="50"/>
      <w:bookmarkEnd w:id="51"/>
    </w:p>
    <w:p>
      <w:pPr>
        <w:spacing w:line="360" w:lineRule="auto"/>
        <w:ind w:firstLine="480" w:firstLineChars="200"/>
        <w:rPr>
          <w:rFonts w:ascii="仿宋" w:hAnsi="仿宋" w:eastAsia="仿宋"/>
          <w:sz w:val="24"/>
        </w:rPr>
      </w:pPr>
      <w:r>
        <w:rPr>
          <w:rFonts w:hint="eastAsia" w:ascii="仿宋" w:hAnsi="仿宋" w:eastAsia="仿宋"/>
          <w:sz w:val="24"/>
        </w:rPr>
        <w:t>1、参加本次采购活动的投标人认为招标文件、招标过程和中标结果使自己的权益受到损害的，可以在知道或者应知道其权益受到损害之日起5个工作日内，以书面形式向招标人提出质疑。</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、质疑书内容应包括以下主要内容：</w:t>
      </w:r>
    </w:p>
    <w:p>
      <w:pPr>
        <w:spacing w:line="360" w:lineRule="auto"/>
        <w:ind w:firstLine="480" w:firstLineChars="200"/>
        <w:rPr>
          <w:rFonts w:ascii="仿宋" w:hAnsi="仿宋" w:eastAsia="仿宋"/>
          <w:sz w:val="24"/>
        </w:rPr>
      </w:pPr>
      <w:r>
        <w:rPr>
          <w:rFonts w:ascii="仿宋" w:hAnsi="仿宋" w:eastAsia="仿宋"/>
          <w:sz w:val="24"/>
        </w:rPr>
        <w:t>2.1</w:t>
      </w:r>
      <w:r>
        <w:rPr>
          <w:rFonts w:hint="eastAsia" w:ascii="仿宋" w:hAnsi="仿宋" w:eastAsia="仿宋"/>
          <w:sz w:val="24"/>
        </w:rPr>
        <w:t>、质疑人的名称、地址、电话等；</w:t>
      </w:r>
    </w:p>
    <w:p>
      <w:pPr>
        <w:spacing w:line="360" w:lineRule="auto"/>
        <w:ind w:firstLine="480" w:firstLineChars="200"/>
        <w:rPr>
          <w:rFonts w:ascii="仿宋" w:hAnsi="仿宋" w:eastAsia="仿宋"/>
          <w:sz w:val="24"/>
        </w:rPr>
      </w:pPr>
      <w:r>
        <w:rPr>
          <w:rFonts w:ascii="仿宋" w:hAnsi="仿宋" w:eastAsia="仿宋"/>
          <w:sz w:val="24"/>
        </w:rPr>
        <w:t>2.2</w:t>
      </w:r>
      <w:r>
        <w:rPr>
          <w:rFonts w:hint="eastAsia" w:ascii="仿宋" w:hAnsi="仿宋" w:eastAsia="仿宋"/>
          <w:sz w:val="24"/>
        </w:rPr>
        <w:t>、具体的质疑事项、证据以及法律、法规依据；</w:t>
      </w:r>
    </w:p>
    <w:p>
      <w:pPr>
        <w:spacing w:line="360" w:lineRule="auto"/>
        <w:ind w:firstLine="480" w:firstLineChars="200"/>
        <w:rPr>
          <w:rFonts w:ascii="仿宋" w:hAnsi="仿宋" w:eastAsia="仿宋"/>
          <w:sz w:val="24"/>
        </w:rPr>
      </w:pPr>
      <w:r>
        <w:rPr>
          <w:rFonts w:ascii="仿宋" w:hAnsi="仿宋" w:eastAsia="仿宋"/>
          <w:sz w:val="24"/>
        </w:rPr>
        <w:t>2.3</w:t>
      </w:r>
      <w:r>
        <w:rPr>
          <w:rFonts w:hint="eastAsia" w:ascii="仿宋" w:hAnsi="仿宋" w:eastAsia="仿宋"/>
          <w:sz w:val="24"/>
        </w:rPr>
        <w:t>、提出质疑的日期。</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、质疑书应当署名，一式叁份。由法定代表人或者主要负责人签字并加盖公章后生效。代理人办理质疑事务时，还应当提交授权委托书，授权委托书应当载明代理的具体权限和事项。否则招标人不予受理。</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、除书面形式外，其他任何方式的质疑，招标人均不予接受和回复。</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、招标人在收到质疑书后10个工作日内作出书面答复，并以书面形式通知质疑人和其他有关投标人，但答复不得涉及商业秘密。</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、质疑人对招标人的答复不满意或者招标人未在规定的时间内作出答复的，可以在答复期满后1</w:t>
      </w:r>
      <w:r>
        <w:rPr>
          <w:rFonts w:ascii="仿宋" w:hAnsi="仿宋" w:eastAsia="仿宋"/>
          <w:sz w:val="24"/>
        </w:rPr>
        <w:t>5</w:t>
      </w:r>
      <w:r>
        <w:rPr>
          <w:rFonts w:hint="eastAsia" w:ascii="仿宋" w:hAnsi="仿宋" w:eastAsia="仿宋"/>
          <w:sz w:val="24"/>
        </w:rPr>
        <w:t>个工作日内向同级监管部门投诉。</w:t>
      </w:r>
    </w:p>
    <w:p>
      <w:pPr>
        <w:spacing w:line="360" w:lineRule="auto"/>
        <w:ind w:firstLine="480" w:firstLineChars="200"/>
        <w:outlineLvl w:val="1"/>
        <w:rPr>
          <w:rFonts w:ascii="仿宋" w:hAnsi="仿宋" w:eastAsia="仿宋"/>
          <w:sz w:val="24"/>
        </w:rPr>
      </w:pPr>
      <w:bookmarkStart w:id="52" w:name="_Toc436169030"/>
      <w:bookmarkStart w:id="53" w:name="_Toc518288120"/>
      <w:r>
        <w:rPr>
          <w:rFonts w:hint="eastAsia" w:ascii="仿宋" w:hAnsi="仿宋" w:eastAsia="仿宋"/>
          <w:sz w:val="24"/>
        </w:rPr>
        <w:t>十七、投诉</w:t>
      </w:r>
      <w:bookmarkEnd w:id="52"/>
      <w:bookmarkEnd w:id="53"/>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、按照《中华人民共和国政府采购法》、财政部《政府采购供应商投诉处理办法》（第</w:t>
      </w:r>
      <w:r>
        <w:rPr>
          <w:rFonts w:ascii="仿宋" w:hAnsi="仿宋" w:eastAsia="仿宋"/>
          <w:sz w:val="24"/>
        </w:rPr>
        <w:t>20</w:t>
      </w:r>
      <w:r>
        <w:rPr>
          <w:rFonts w:hint="eastAsia" w:ascii="仿宋" w:hAnsi="仿宋" w:eastAsia="仿宋"/>
          <w:sz w:val="24"/>
        </w:rPr>
        <w:t>号令）和财政部《关于加强政府采购供应商投诉受理审查工作的通知》（财库〔</w:t>
      </w:r>
      <w:r>
        <w:rPr>
          <w:rFonts w:ascii="仿宋" w:hAnsi="仿宋" w:eastAsia="仿宋"/>
          <w:sz w:val="24"/>
        </w:rPr>
        <w:t>2007</w:t>
      </w:r>
      <w:r>
        <w:rPr>
          <w:rFonts w:hint="eastAsia" w:ascii="仿宋" w:hAnsi="仿宋" w:eastAsia="仿宋"/>
          <w:sz w:val="24"/>
        </w:rPr>
        <w:t>〕</w:t>
      </w:r>
      <w:r>
        <w:rPr>
          <w:rFonts w:ascii="仿宋" w:hAnsi="仿宋" w:eastAsia="仿宋"/>
          <w:sz w:val="24"/>
        </w:rPr>
        <w:t>1</w:t>
      </w:r>
      <w:r>
        <w:rPr>
          <w:rFonts w:hint="eastAsia" w:ascii="仿宋" w:hAnsi="仿宋" w:eastAsia="仿宋"/>
          <w:sz w:val="24"/>
        </w:rPr>
        <w:t>号）文件以及相关的法律、法规及规定，质疑人对招标人的答复不满意或者招标人未在规定的时间内作出答复的，可以在答复期满后1</w:t>
      </w:r>
      <w:r>
        <w:rPr>
          <w:rFonts w:ascii="仿宋" w:hAnsi="仿宋" w:eastAsia="仿宋"/>
          <w:sz w:val="24"/>
        </w:rPr>
        <w:t>5</w:t>
      </w:r>
      <w:r>
        <w:rPr>
          <w:rFonts w:hint="eastAsia" w:ascii="仿宋" w:hAnsi="仿宋" w:eastAsia="仿宋"/>
          <w:sz w:val="24"/>
        </w:rPr>
        <w:t>个工作日内向同级监管部门投诉。</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、投诉人提起投诉应符合下列条件：</w:t>
      </w:r>
    </w:p>
    <w:p>
      <w:pPr>
        <w:spacing w:line="360" w:lineRule="auto"/>
        <w:ind w:firstLine="480" w:firstLineChars="200"/>
        <w:rPr>
          <w:rFonts w:ascii="仿宋" w:hAnsi="仿宋" w:eastAsia="仿宋"/>
          <w:sz w:val="24"/>
        </w:rPr>
      </w:pPr>
      <w:r>
        <w:rPr>
          <w:rFonts w:ascii="仿宋" w:hAnsi="仿宋" w:eastAsia="仿宋"/>
          <w:sz w:val="24"/>
        </w:rPr>
        <w:t>2.1</w:t>
      </w:r>
      <w:r>
        <w:rPr>
          <w:rFonts w:hint="eastAsia" w:ascii="仿宋" w:hAnsi="仿宋" w:eastAsia="仿宋"/>
          <w:sz w:val="24"/>
        </w:rPr>
        <w:t>、投诉人是参与所投诉政府采购活动的投标人；</w:t>
      </w:r>
    </w:p>
    <w:p>
      <w:pPr>
        <w:spacing w:line="360" w:lineRule="auto"/>
        <w:ind w:firstLine="480" w:firstLineChars="200"/>
        <w:rPr>
          <w:rFonts w:ascii="仿宋" w:hAnsi="仿宋" w:eastAsia="仿宋"/>
          <w:sz w:val="24"/>
        </w:rPr>
      </w:pPr>
      <w:r>
        <w:rPr>
          <w:rFonts w:ascii="仿宋" w:hAnsi="仿宋" w:eastAsia="仿宋"/>
          <w:sz w:val="24"/>
        </w:rPr>
        <w:t>2.2</w:t>
      </w:r>
      <w:r>
        <w:rPr>
          <w:rFonts w:hint="eastAsia" w:ascii="仿宋" w:hAnsi="仿宋" w:eastAsia="仿宋"/>
          <w:sz w:val="24"/>
        </w:rPr>
        <w:t>、提起投诉前已依法进行质疑；</w:t>
      </w:r>
    </w:p>
    <w:p>
      <w:pPr>
        <w:spacing w:line="360" w:lineRule="auto"/>
        <w:ind w:firstLine="480" w:firstLineChars="200"/>
        <w:rPr>
          <w:rFonts w:ascii="仿宋" w:hAnsi="仿宋" w:eastAsia="仿宋"/>
          <w:sz w:val="24"/>
        </w:rPr>
      </w:pPr>
      <w:r>
        <w:rPr>
          <w:rFonts w:ascii="仿宋" w:hAnsi="仿宋" w:eastAsia="仿宋"/>
          <w:sz w:val="24"/>
        </w:rPr>
        <w:t>2.3</w:t>
      </w:r>
      <w:r>
        <w:rPr>
          <w:rFonts w:hint="eastAsia" w:ascii="仿宋" w:hAnsi="仿宋" w:eastAsia="仿宋"/>
          <w:sz w:val="24"/>
        </w:rPr>
        <w:t>、投诉书内容符合财政部《政府采购投标人投诉处理办法》（第</w:t>
      </w:r>
      <w:r>
        <w:rPr>
          <w:rFonts w:ascii="仿宋" w:hAnsi="仿宋" w:eastAsia="仿宋"/>
          <w:sz w:val="24"/>
        </w:rPr>
        <w:t>20</w:t>
      </w:r>
      <w:r>
        <w:rPr>
          <w:rFonts w:hint="eastAsia" w:ascii="仿宋" w:hAnsi="仿宋" w:eastAsia="仿宋"/>
          <w:sz w:val="24"/>
        </w:rPr>
        <w:t>号令）规定；</w:t>
      </w:r>
    </w:p>
    <w:p>
      <w:pPr>
        <w:spacing w:line="360" w:lineRule="auto"/>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、在投诉有效期限内提起投诉；</w:t>
      </w:r>
    </w:p>
    <w:p>
      <w:pPr>
        <w:spacing w:line="360" w:lineRule="auto"/>
        <w:ind w:firstLine="480" w:firstLineChars="200"/>
        <w:rPr>
          <w:rFonts w:ascii="仿宋" w:hAnsi="仿宋" w:eastAsia="仿宋"/>
          <w:sz w:val="24"/>
        </w:rPr>
      </w:pPr>
      <w:r>
        <w:rPr>
          <w:rFonts w:ascii="仿宋" w:hAnsi="仿宋" w:eastAsia="仿宋"/>
          <w:sz w:val="24"/>
        </w:rPr>
        <w:t>2.5</w:t>
      </w:r>
      <w:r>
        <w:rPr>
          <w:rFonts w:hint="eastAsia" w:ascii="仿宋" w:hAnsi="仿宋" w:eastAsia="仿宋"/>
          <w:sz w:val="24"/>
        </w:rPr>
        <w:t>、属于本财政部门管辖；</w:t>
      </w:r>
    </w:p>
    <w:p>
      <w:pPr>
        <w:spacing w:line="360" w:lineRule="auto"/>
        <w:ind w:firstLine="480" w:firstLineChars="200"/>
        <w:rPr>
          <w:rFonts w:ascii="仿宋" w:hAnsi="仿宋" w:eastAsia="仿宋"/>
          <w:sz w:val="24"/>
        </w:rPr>
      </w:pPr>
      <w:r>
        <w:rPr>
          <w:rFonts w:ascii="仿宋" w:hAnsi="仿宋" w:eastAsia="仿宋"/>
          <w:sz w:val="24"/>
        </w:rPr>
        <w:t>2.6</w:t>
      </w:r>
      <w:r>
        <w:rPr>
          <w:rFonts w:hint="eastAsia" w:ascii="仿宋" w:hAnsi="仿宋" w:eastAsia="仿宋"/>
          <w:sz w:val="24"/>
        </w:rPr>
        <w:t>、同一投诉事项未经财政部门投诉处理；</w:t>
      </w:r>
    </w:p>
    <w:p>
      <w:pPr>
        <w:spacing w:line="360" w:lineRule="auto"/>
        <w:ind w:firstLine="480" w:firstLineChars="200"/>
        <w:rPr>
          <w:rFonts w:ascii="仿宋" w:hAnsi="仿宋" w:eastAsia="仿宋"/>
          <w:sz w:val="24"/>
        </w:rPr>
      </w:pPr>
      <w:r>
        <w:rPr>
          <w:rFonts w:ascii="仿宋" w:hAnsi="仿宋" w:eastAsia="仿宋"/>
          <w:sz w:val="24"/>
        </w:rPr>
        <w:t>2.7</w:t>
      </w:r>
      <w:r>
        <w:rPr>
          <w:rFonts w:hint="eastAsia" w:ascii="仿宋" w:hAnsi="仿宋" w:eastAsia="仿宋"/>
          <w:sz w:val="24"/>
        </w:rPr>
        <w:t>、法律法规规定的其他条件。</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、投诉人投诉时，应当提交投诉书，并按照被投诉招标人和与投诉事项有关的投标人数量提供投诉书的副本。</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、投诉书应当包括以下主要内容：</w:t>
      </w:r>
    </w:p>
    <w:p>
      <w:pPr>
        <w:spacing w:line="360" w:lineRule="auto"/>
        <w:ind w:firstLine="480" w:firstLineChars="200"/>
        <w:rPr>
          <w:rFonts w:ascii="仿宋" w:hAnsi="仿宋" w:eastAsia="仿宋"/>
          <w:sz w:val="24"/>
        </w:rPr>
      </w:pPr>
      <w:r>
        <w:rPr>
          <w:rFonts w:ascii="仿宋" w:hAnsi="仿宋" w:eastAsia="仿宋"/>
          <w:sz w:val="24"/>
        </w:rPr>
        <w:t>4.1</w:t>
      </w:r>
      <w:r>
        <w:rPr>
          <w:rFonts w:hint="eastAsia" w:ascii="仿宋" w:hAnsi="仿宋" w:eastAsia="仿宋"/>
          <w:sz w:val="24"/>
        </w:rPr>
        <w:t>、投诉人和被投诉人的名称、地址、电话等；</w:t>
      </w:r>
    </w:p>
    <w:p>
      <w:pPr>
        <w:spacing w:line="360" w:lineRule="auto"/>
        <w:ind w:firstLine="480" w:firstLineChars="200"/>
        <w:rPr>
          <w:rFonts w:ascii="仿宋" w:hAnsi="仿宋" w:eastAsia="仿宋"/>
          <w:sz w:val="24"/>
        </w:rPr>
      </w:pPr>
      <w:r>
        <w:rPr>
          <w:rFonts w:ascii="仿宋" w:hAnsi="仿宋" w:eastAsia="仿宋"/>
          <w:sz w:val="24"/>
        </w:rPr>
        <w:t>4.2</w:t>
      </w:r>
      <w:r>
        <w:rPr>
          <w:rFonts w:hint="eastAsia" w:ascii="仿宋" w:hAnsi="仿宋" w:eastAsia="仿宋"/>
          <w:sz w:val="24"/>
        </w:rPr>
        <w:t>、具体的投诉事宜以及事实依据；</w:t>
      </w:r>
    </w:p>
    <w:p>
      <w:pPr>
        <w:spacing w:line="360" w:lineRule="auto"/>
        <w:ind w:firstLine="480" w:firstLineChars="200"/>
        <w:rPr>
          <w:rFonts w:ascii="仿宋" w:hAnsi="仿宋" w:eastAsia="仿宋"/>
          <w:sz w:val="24"/>
        </w:rPr>
      </w:pPr>
      <w:r>
        <w:rPr>
          <w:rFonts w:ascii="仿宋" w:hAnsi="仿宋" w:eastAsia="仿宋"/>
          <w:sz w:val="24"/>
        </w:rPr>
        <w:t>4.3</w:t>
      </w:r>
      <w:r>
        <w:rPr>
          <w:rFonts w:hint="eastAsia" w:ascii="仿宋" w:hAnsi="仿宋" w:eastAsia="仿宋"/>
          <w:sz w:val="24"/>
        </w:rPr>
        <w:t>、质疑书和质疑答复情况以及相关证明材料；</w:t>
      </w:r>
    </w:p>
    <w:p>
      <w:pPr>
        <w:spacing w:line="360" w:lineRule="auto"/>
        <w:ind w:firstLine="480" w:firstLineChars="200"/>
        <w:rPr>
          <w:rFonts w:ascii="仿宋" w:hAnsi="仿宋" w:eastAsia="仿宋"/>
          <w:sz w:val="24"/>
        </w:rPr>
      </w:pPr>
      <w:r>
        <w:rPr>
          <w:rFonts w:ascii="仿宋" w:hAnsi="仿宋" w:eastAsia="仿宋"/>
          <w:sz w:val="24"/>
        </w:rPr>
        <w:t>4.4</w:t>
      </w:r>
      <w:r>
        <w:rPr>
          <w:rFonts w:hint="eastAsia" w:ascii="仿宋" w:hAnsi="仿宋" w:eastAsia="仿宋"/>
          <w:sz w:val="24"/>
        </w:rPr>
        <w:t>、提起投诉的日期。</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、投诉书应当署名。投诉人为自然人的，应当由本人签字；投诉人为法人或者其他组织的，应当由法定代表人或者主要负责人签字盖章并加盖公章。</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、投诉人可以委托代理人办理投诉事务。代理人办理投诉事务时，除提交投诉书外，还应当向同级监管部门提交投诉人的授权委托书，授权委托书应当载明委托代理的具体权限和事项。</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、投诉人不符合上述规定提起的投诉，监管部门不予受理。</w:t>
      </w:r>
    </w:p>
    <w:p>
      <w:pPr>
        <w:spacing w:line="360" w:lineRule="auto"/>
        <w:ind w:firstLine="480" w:firstLineChars="200"/>
        <w:outlineLvl w:val="1"/>
        <w:rPr>
          <w:rFonts w:ascii="仿宋" w:hAnsi="仿宋" w:eastAsia="仿宋"/>
          <w:sz w:val="24"/>
        </w:rPr>
      </w:pPr>
      <w:bookmarkStart w:id="54" w:name="_Toc518288121"/>
      <w:bookmarkStart w:id="55" w:name="_Toc436169031"/>
      <w:r>
        <w:rPr>
          <w:rFonts w:hint="eastAsia" w:ascii="仿宋" w:hAnsi="仿宋" w:eastAsia="仿宋"/>
          <w:sz w:val="24"/>
        </w:rPr>
        <w:t>十八、其他需补充的内容</w:t>
      </w:r>
      <w:bookmarkEnd w:id="54"/>
      <w:bookmarkEnd w:id="55"/>
    </w:p>
    <w:p>
      <w:pPr>
        <w:spacing w:line="360" w:lineRule="auto"/>
        <w:ind w:firstLine="480" w:firstLineChars="200"/>
        <w:rPr>
          <w:rFonts w:ascii="仿宋" w:hAnsi="仿宋" w:eastAsia="仿宋"/>
          <w:sz w:val="24"/>
        </w:rPr>
      </w:pPr>
      <w:r>
        <w:rPr>
          <w:rFonts w:hint="eastAsia" w:ascii="仿宋" w:hAnsi="仿宋" w:eastAsia="仿宋"/>
          <w:sz w:val="24"/>
        </w:rPr>
        <w:t>其他需补充的内容：见投标人须知。</w:t>
      </w:r>
    </w:p>
    <w:p>
      <w:pPr>
        <w:pStyle w:val="8"/>
        <w:rPr>
          <w:rFonts w:ascii="黑体" w:hAnsi="黑体" w:eastAsia="黑体"/>
          <w:sz w:val="28"/>
          <w:szCs w:val="28"/>
        </w:rPr>
      </w:pPr>
      <w:r>
        <w:rPr>
          <w:sz w:val="24"/>
        </w:rPr>
        <w:br w:type="page"/>
      </w:r>
      <w:bookmarkStart w:id="56" w:name="_Toc436169032"/>
      <w:bookmarkStart w:id="57" w:name="_Toc518288122"/>
      <w:bookmarkStart w:id="58" w:name="_Toc13852958"/>
      <w:bookmarkStart w:id="59" w:name="_Toc13853049"/>
      <w:r>
        <w:t>第</w:t>
      </w:r>
      <w:r>
        <w:rPr>
          <w:rFonts w:hint="eastAsia"/>
        </w:rPr>
        <w:t>六</w:t>
      </w:r>
      <w:r>
        <w:t>章</w:t>
      </w:r>
      <w:r>
        <w:rPr>
          <w:rFonts w:hint="eastAsia"/>
        </w:rPr>
        <w:t xml:space="preserve"> 评</w:t>
      </w:r>
      <w:bookmarkEnd w:id="56"/>
      <w:bookmarkEnd w:id="57"/>
      <w:r>
        <w:rPr>
          <w:rFonts w:hint="eastAsia"/>
        </w:rPr>
        <w:t>审程序</w:t>
      </w:r>
      <w:bookmarkEnd w:id="58"/>
      <w:bookmarkEnd w:id="59"/>
    </w:p>
    <w:p>
      <w:pPr>
        <w:spacing w:line="360" w:lineRule="auto"/>
        <w:ind w:firstLine="480" w:firstLineChars="200"/>
        <w:outlineLvl w:val="1"/>
        <w:rPr>
          <w:rFonts w:ascii="仿宋" w:hAnsi="仿宋" w:eastAsia="仿宋"/>
          <w:sz w:val="24"/>
        </w:rPr>
      </w:pPr>
      <w:bookmarkStart w:id="60" w:name="_Toc518288123"/>
      <w:bookmarkStart w:id="61" w:name="_Toc436169033"/>
      <w:r>
        <w:rPr>
          <w:rFonts w:ascii="仿宋" w:hAnsi="仿宋" w:eastAsia="仿宋"/>
          <w:sz w:val="24"/>
        </w:rPr>
        <w:t>一、</w:t>
      </w:r>
      <w:bookmarkEnd w:id="60"/>
      <w:bookmarkEnd w:id="61"/>
      <w:bookmarkStart w:id="62" w:name="_Toc436169034"/>
      <w:bookmarkStart w:id="63" w:name="_Toc518288124"/>
      <w:r>
        <w:rPr>
          <w:rFonts w:ascii="仿宋" w:hAnsi="仿宋" w:eastAsia="仿宋"/>
          <w:sz w:val="24"/>
        </w:rPr>
        <w:t>开标</w:t>
      </w:r>
      <w:bookmarkEnd w:id="62"/>
      <w:bookmarkEnd w:id="63"/>
    </w:p>
    <w:p>
      <w:pPr>
        <w:spacing w:line="360" w:lineRule="auto"/>
        <w:ind w:firstLine="480" w:firstLineChars="200"/>
        <w:rPr>
          <w:rFonts w:ascii="仿宋" w:hAnsi="仿宋" w:eastAsia="仿宋"/>
          <w:sz w:val="24"/>
        </w:rPr>
      </w:pPr>
      <w:r>
        <w:rPr>
          <w:rFonts w:ascii="仿宋" w:hAnsi="仿宋" w:eastAsia="仿宋"/>
          <w:sz w:val="24"/>
        </w:rPr>
        <w:t>1、开标应当在招标文件确定的提交投标文件截止时间的同一时间公开进行；招标人按照本招标文件规定的时间和地点组织召开开标会议。</w:t>
      </w:r>
    </w:p>
    <w:p>
      <w:pPr>
        <w:spacing w:line="360" w:lineRule="auto"/>
        <w:ind w:firstLine="482" w:firstLineChars="200"/>
        <w:rPr>
          <w:rFonts w:ascii="仿宋" w:hAnsi="仿宋" w:eastAsia="仿宋"/>
          <w:sz w:val="24"/>
        </w:rPr>
      </w:pPr>
      <w:r>
        <w:rPr>
          <w:rFonts w:ascii="仿宋" w:hAnsi="仿宋" w:eastAsia="仿宋"/>
          <w:b/>
          <w:sz w:val="24"/>
          <w:lang w:val="zh-CN"/>
        </w:rPr>
        <w:t>递交投标文件时：法定代表人参加投标的，应出示法定代表人身份证明原件和本人身份证原件；被授权代表参加投标的，应出示授权委托书原件和本人身份证原件以证明其出席。否则，代理机构对递交的投标文件将不予接收。</w:t>
      </w:r>
    </w:p>
    <w:p>
      <w:pPr>
        <w:spacing w:line="360" w:lineRule="auto"/>
        <w:ind w:firstLine="480" w:firstLineChars="200"/>
        <w:rPr>
          <w:rFonts w:ascii="仿宋" w:hAnsi="仿宋" w:eastAsia="仿宋"/>
          <w:sz w:val="24"/>
        </w:rPr>
      </w:pPr>
      <w:r>
        <w:rPr>
          <w:rFonts w:ascii="仿宋" w:hAnsi="仿宋" w:eastAsia="仿宋"/>
          <w:sz w:val="24"/>
        </w:rPr>
        <w:t>2、检查投标文件密封情况，由招标人检查，并请各投标人法定代表人或者被授权代表签字确认。投标人法定代表人或者被授权代表认为某个或者某些投标人的投标文件密封不符合规定的，应当面提出。相关各方投标人法定代表人或者被授权代表签字确认无异议后，由招标人工作人员当众拆封，开启符合密封规定的投标文件。</w:t>
      </w:r>
    </w:p>
    <w:p>
      <w:pPr>
        <w:spacing w:line="360" w:lineRule="auto"/>
        <w:ind w:firstLine="480" w:firstLineChars="200"/>
        <w:rPr>
          <w:rFonts w:ascii="仿宋" w:hAnsi="仿宋" w:eastAsia="仿宋"/>
          <w:sz w:val="24"/>
        </w:rPr>
      </w:pPr>
      <w:r>
        <w:rPr>
          <w:rFonts w:ascii="仿宋" w:hAnsi="仿宋" w:eastAsia="仿宋"/>
          <w:sz w:val="24"/>
        </w:rPr>
        <w:t>若相关各方投标人法定代表人或者被授权代表签字确认有异议的，报现场监督人员和评标委员会处理，在处理决定未作出之前有异议各方的投标文件均不得开启；处理决定认为投标文件符合或者不符合规定的，各方均应签字确认，拒绝签字的不影响处理决定的执行；处理决定认为投标文件不符合规定的，按照投标无效处理。处理决定公布后，由招标人工作人员当众拆封，开启符合密封规定的投标文件。</w:t>
      </w:r>
    </w:p>
    <w:p>
      <w:pPr>
        <w:spacing w:line="360" w:lineRule="auto"/>
        <w:ind w:firstLine="480" w:firstLineChars="200"/>
        <w:rPr>
          <w:rFonts w:ascii="仿宋" w:hAnsi="仿宋" w:eastAsia="仿宋"/>
          <w:sz w:val="24"/>
        </w:rPr>
      </w:pPr>
      <w:r>
        <w:rPr>
          <w:rFonts w:ascii="仿宋" w:hAnsi="仿宋" w:eastAsia="仿宋"/>
          <w:sz w:val="24"/>
        </w:rPr>
        <w:t>按照上述规定开启投标文件后，投标人再对投标文件的密封情况提出异议的，招标人不予受理。</w:t>
      </w:r>
    </w:p>
    <w:p>
      <w:pPr>
        <w:spacing w:line="360" w:lineRule="auto"/>
        <w:ind w:firstLine="480" w:firstLineChars="200"/>
        <w:outlineLvl w:val="1"/>
        <w:rPr>
          <w:rFonts w:ascii="仿宋" w:hAnsi="仿宋" w:eastAsia="仿宋"/>
          <w:sz w:val="24"/>
        </w:rPr>
      </w:pPr>
      <w:bookmarkStart w:id="64" w:name="_Toc436169035"/>
      <w:bookmarkStart w:id="65" w:name="_Toc518288125"/>
      <w:r>
        <w:rPr>
          <w:rFonts w:ascii="仿宋" w:hAnsi="仿宋" w:eastAsia="仿宋"/>
          <w:sz w:val="24"/>
        </w:rPr>
        <w:t>二、评标委员会</w:t>
      </w:r>
      <w:bookmarkEnd w:id="64"/>
      <w:bookmarkEnd w:id="65"/>
    </w:p>
    <w:p>
      <w:pPr>
        <w:spacing w:line="360" w:lineRule="auto"/>
        <w:ind w:firstLine="480" w:firstLineChars="200"/>
        <w:outlineLvl w:val="2"/>
        <w:rPr>
          <w:rFonts w:ascii="仿宋" w:hAnsi="仿宋" w:eastAsia="仿宋"/>
          <w:sz w:val="24"/>
        </w:rPr>
      </w:pPr>
      <w:r>
        <w:rPr>
          <w:rFonts w:ascii="仿宋" w:hAnsi="仿宋" w:eastAsia="仿宋"/>
          <w:sz w:val="24"/>
        </w:rPr>
        <w:t>1、评标委员会的组成</w:t>
      </w:r>
    </w:p>
    <w:p>
      <w:pPr>
        <w:spacing w:line="360" w:lineRule="auto"/>
        <w:ind w:firstLine="480" w:firstLineChars="200"/>
        <w:rPr>
          <w:rFonts w:ascii="仿宋" w:hAnsi="仿宋" w:eastAsia="仿宋"/>
          <w:sz w:val="24"/>
        </w:rPr>
      </w:pPr>
      <w:r>
        <w:rPr>
          <w:rFonts w:ascii="仿宋" w:hAnsi="仿宋" w:eastAsia="仿宋"/>
          <w:sz w:val="24"/>
        </w:rPr>
        <w:t>评标由评标委员会负责。评标委员会由招标人代表和评标专家组成，成员人数为五人以及以上单数，其中招标人代表只限一人，技术、经济等方面的评审专家不得少于成员总数的三分之二。</w:t>
      </w:r>
    </w:p>
    <w:p>
      <w:pPr>
        <w:spacing w:line="360" w:lineRule="auto"/>
        <w:ind w:firstLine="480" w:firstLineChars="200"/>
        <w:outlineLvl w:val="2"/>
        <w:rPr>
          <w:rFonts w:ascii="仿宋" w:hAnsi="仿宋" w:eastAsia="仿宋"/>
          <w:sz w:val="24"/>
        </w:rPr>
      </w:pPr>
      <w:r>
        <w:rPr>
          <w:rFonts w:ascii="仿宋" w:hAnsi="仿宋" w:eastAsia="仿宋"/>
          <w:sz w:val="24"/>
        </w:rPr>
        <w:t>2、评标委员会的职责：</w:t>
      </w:r>
    </w:p>
    <w:p>
      <w:pPr>
        <w:spacing w:line="360" w:lineRule="auto"/>
        <w:ind w:firstLine="480" w:firstLineChars="200"/>
        <w:rPr>
          <w:rFonts w:ascii="仿宋" w:hAnsi="仿宋" w:eastAsia="仿宋"/>
          <w:sz w:val="24"/>
        </w:rPr>
      </w:pPr>
      <w:r>
        <w:rPr>
          <w:rFonts w:ascii="仿宋" w:hAnsi="仿宋" w:eastAsia="仿宋"/>
          <w:sz w:val="24"/>
        </w:rPr>
        <w:t>2.1、审查投标文件是否符合招标文件要求，进行资格性审查和符合性审查，并做出评价；</w:t>
      </w:r>
    </w:p>
    <w:p>
      <w:pPr>
        <w:spacing w:line="360" w:lineRule="auto"/>
        <w:ind w:firstLine="480" w:firstLineChars="200"/>
        <w:rPr>
          <w:rFonts w:ascii="仿宋" w:hAnsi="仿宋" w:eastAsia="仿宋"/>
          <w:sz w:val="24"/>
        </w:rPr>
      </w:pPr>
      <w:r>
        <w:rPr>
          <w:rFonts w:ascii="仿宋" w:hAnsi="仿宋" w:eastAsia="仿宋"/>
          <w:sz w:val="24"/>
        </w:rPr>
        <w:t>2.2、要求投标人对投标文件有关事项做出解释或者澄清；</w:t>
      </w:r>
    </w:p>
    <w:p>
      <w:pPr>
        <w:spacing w:line="360" w:lineRule="auto"/>
        <w:ind w:firstLine="480" w:firstLineChars="200"/>
        <w:rPr>
          <w:rFonts w:ascii="仿宋" w:hAnsi="仿宋" w:eastAsia="仿宋"/>
          <w:sz w:val="24"/>
        </w:rPr>
      </w:pPr>
      <w:r>
        <w:rPr>
          <w:rFonts w:ascii="仿宋" w:hAnsi="仿宋" w:eastAsia="仿宋"/>
          <w:sz w:val="24"/>
        </w:rPr>
        <w:t>2.3、推荐中标候选人名单，或者受招标人委托按照事先确定的办法直接确定中标人；</w:t>
      </w:r>
    </w:p>
    <w:p>
      <w:pPr>
        <w:spacing w:line="360" w:lineRule="auto"/>
        <w:ind w:firstLine="480" w:firstLineChars="200"/>
        <w:rPr>
          <w:rFonts w:ascii="仿宋" w:hAnsi="仿宋" w:eastAsia="仿宋"/>
          <w:sz w:val="24"/>
        </w:rPr>
      </w:pPr>
      <w:r>
        <w:rPr>
          <w:rFonts w:ascii="仿宋" w:hAnsi="仿宋" w:eastAsia="仿宋"/>
          <w:sz w:val="24"/>
        </w:rPr>
        <w:t>2.4、向招标人或者有关部门报告非法干预评标工作的行为。</w:t>
      </w:r>
    </w:p>
    <w:p>
      <w:pPr>
        <w:spacing w:line="360" w:lineRule="auto"/>
        <w:ind w:firstLine="480" w:firstLineChars="200"/>
        <w:rPr>
          <w:rFonts w:ascii="仿宋" w:hAnsi="仿宋" w:eastAsia="仿宋"/>
          <w:sz w:val="24"/>
        </w:rPr>
      </w:pPr>
      <w:r>
        <w:rPr>
          <w:rFonts w:ascii="仿宋" w:hAnsi="仿宋" w:eastAsia="仿宋"/>
          <w:sz w:val="24"/>
        </w:rPr>
        <w:t>2.5、对围、串标等违法违规行为作出认定。</w:t>
      </w:r>
    </w:p>
    <w:p>
      <w:pPr>
        <w:spacing w:line="360" w:lineRule="auto"/>
        <w:ind w:firstLine="480" w:firstLineChars="200"/>
        <w:outlineLvl w:val="2"/>
        <w:rPr>
          <w:rFonts w:ascii="仿宋" w:hAnsi="仿宋" w:eastAsia="仿宋"/>
          <w:sz w:val="24"/>
        </w:rPr>
      </w:pPr>
      <w:r>
        <w:rPr>
          <w:rFonts w:ascii="仿宋" w:hAnsi="仿宋" w:eastAsia="仿宋"/>
          <w:sz w:val="24"/>
        </w:rPr>
        <w:t>3、评标委员会的义务：</w:t>
      </w:r>
    </w:p>
    <w:p>
      <w:pPr>
        <w:spacing w:line="360" w:lineRule="auto"/>
        <w:ind w:firstLine="480" w:firstLineChars="200"/>
        <w:rPr>
          <w:rFonts w:ascii="仿宋" w:hAnsi="仿宋" w:eastAsia="仿宋"/>
          <w:sz w:val="24"/>
        </w:rPr>
      </w:pPr>
      <w:r>
        <w:rPr>
          <w:rFonts w:ascii="仿宋" w:hAnsi="仿宋" w:eastAsia="仿宋"/>
          <w:sz w:val="24"/>
        </w:rPr>
        <w:t>3.1、遵纪守法，客观、公正、廉洁地履行职责；</w:t>
      </w:r>
    </w:p>
    <w:p>
      <w:pPr>
        <w:spacing w:line="360" w:lineRule="auto"/>
        <w:ind w:firstLine="480" w:firstLineChars="200"/>
        <w:rPr>
          <w:rFonts w:ascii="仿宋" w:hAnsi="仿宋" w:eastAsia="仿宋"/>
          <w:sz w:val="24"/>
        </w:rPr>
      </w:pPr>
      <w:r>
        <w:rPr>
          <w:rFonts w:ascii="仿宋" w:hAnsi="仿宋" w:eastAsia="仿宋"/>
          <w:sz w:val="24"/>
        </w:rPr>
        <w:t>3.2、提出真实、可靠的评审意见；</w:t>
      </w:r>
    </w:p>
    <w:p>
      <w:pPr>
        <w:spacing w:line="360" w:lineRule="auto"/>
        <w:ind w:firstLine="480" w:firstLineChars="200"/>
        <w:rPr>
          <w:rFonts w:ascii="仿宋" w:hAnsi="仿宋" w:eastAsia="仿宋"/>
          <w:sz w:val="24"/>
        </w:rPr>
      </w:pPr>
      <w:r>
        <w:rPr>
          <w:rFonts w:ascii="仿宋" w:hAnsi="仿宋" w:eastAsia="仿宋"/>
          <w:sz w:val="24"/>
        </w:rPr>
        <w:t>3.3、严格遵守评标纪律，不得向外界泄露评标情况；</w:t>
      </w:r>
    </w:p>
    <w:p>
      <w:pPr>
        <w:spacing w:line="360" w:lineRule="auto"/>
        <w:ind w:firstLine="480" w:firstLineChars="200"/>
        <w:rPr>
          <w:rFonts w:ascii="仿宋" w:hAnsi="仿宋" w:eastAsia="仿宋"/>
          <w:sz w:val="24"/>
        </w:rPr>
      </w:pPr>
      <w:r>
        <w:rPr>
          <w:rFonts w:ascii="仿宋" w:hAnsi="仿宋" w:eastAsia="仿宋"/>
          <w:sz w:val="24"/>
        </w:rPr>
        <w:t>3.4、发现投标人在招投标活动中有不正当竞争或者恶意串通等违规行为，应及时向监督部门报告并加以制止；</w:t>
      </w:r>
    </w:p>
    <w:p>
      <w:pPr>
        <w:spacing w:line="360" w:lineRule="auto"/>
        <w:ind w:firstLine="480" w:firstLineChars="200"/>
        <w:rPr>
          <w:rFonts w:ascii="仿宋" w:hAnsi="仿宋" w:eastAsia="仿宋"/>
          <w:sz w:val="24"/>
        </w:rPr>
      </w:pPr>
      <w:r>
        <w:rPr>
          <w:rFonts w:ascii="仿宋" w:hAnsi="仿宋" w:eastAsia="仿宋"/>
          <w:sz w:val="24"/>
        </w:rPr>
        <w:t>3.5、按照招标文件规定的评标方法和评标标准进行评标，对评标意见承担个人责任；</w:t>
      </w:r>
    </w:p>
    <w:p>
      <w:pPr>
        <w:spacing w:line="360" w:lineRule="auto"/>
        <w:ind w:firstLine="480" w:firstLineChars="200"/>
        <w:rPr>
          <w:rFonts w:ascii="仿宋" w:hAnsi="仿宋" w:eastAsia="仿宋"/>
          <w:sz w:val="24"/>
        </w:rPr>
      </w:pPr>
      <w:r>
        <w:rPr>
          <w:rFonts w:ascii="仿宋" w:hAnsi="仿宋" w:eastAsia="仿宋"/>
          <w:sz w:val="24"/>
        </w:rPr>
        <w:t>3.6、对评标过程和结果，以及招标人、投标人的商业秘密保密；</w:t>
      </w:r>
    </w:p>
    <w:p>
      <w:pPr>
        <w:spacing w:line="360" w:lineRule="auto"/>
        <w:ind w:firstLine="480" w:firstLineChars="200"/>
        <w:rPr>
          <w:rFonts w:ascii="仿宋" w:hAnsi="仿宋" w:eastAsia="仿宋"/>
          <w:sz w:val="24"/>
        </w:rPr>
      </w:pPr>
      <w:r>
        <w:rPr>
          <w:rFonts w:ascii="仿宋" w:hAnsi="仿宋" w:eastAsia="仿宋"/>
          <w:sz w:val="24"/>
        </w:rPr>
        <w:t>3.7、对评标过程和结果，以及招标人、投标人的商业秘密保密；</w:t>
      </w:r>
    </w:p>
    <w:p>
      <w:pPr>
        <w:spacing w:line="360" w:lineRule="auto"/>
        <w:ind w:firstLine="480" w:firstLineChars="200"/>
        <w:rPr>
          <w:rFonts w:ascii="仿宋" w:hAnsi="仿宋" w:eastAsia="仿宋"/>
          <w:sz w:val="24"/>
        </w:rPr>
      </w:pPr>
      <w:r>
        <w:rPr>
          <w:rFonts w:ascii="仿宋" w:hAnsi="仿宋" w:eastAsia="仿宋"/>
          <w:sz w:val="24"/>
        </w:rPr>
        <w:t>3.8、配合监管部门处理投诉；</w:t>
      </w:r>
    </w:p>
    <w:p>
      <w:pPr>
        <w:spacing w:line="360" w:lineRule="auto"/>
        <w:ind w:firstLine="480" w:firstLineChars="200"/>
        <w:outlineLvl w:val="2"/>
        <w:rPr>
          <w:rFonts w:ascii="仿宋" w:hAnsi="仿宋" w:eastAsia="仿宋"/>
          <w:sz w:val="24"/>
        </w:rPr>
      </w:pPr>
      <w:r>
        <w:rPr>
          <w:rFonts w:ascii="仿宋" w:hAnsi="仿宋" w:eastAsia="仿宋"/>
          <w:sz w:val="24"/>
        </w:rPr>
        <w:t>4、评标委员会成员有下列情形之一的，应当回避：</w:t>
      </w:r>
    </w:p>
    <w:p>
      <w:pPr>
        <w:spacing w:line="360" w:lineRule="auto"/>
        <w:ind w:firstLine="480" w:firstLineChars="200"/>
        <w:rPr>
          <w:rFonts w:ascii="仿宋" w:hAnsi="仿宋" w:eastAsia="仿宋"/>
          <w:sz w:val="24"/>
        </w:rPr>
      </w:pPr>
      <w:r>
        <w:rPr>
          <w:rFonts w:ascii="仿宋" w:hAnsi="仿宋" w:eastAsia="仿宋"/>
          <w:sz w:val="24"/>
        </w:rPr>
        <w:t>4.1、投标人或者投标人主要负责人的近亲属；</w:t>
      </w:r>
    </w:p>
    <w:p>
      <w:pPr>
        <w:spacing w:line="360" w:lineRule="auto"/>
        <w:ind w:firstLine="480" w:firstLineChars="200"/>
        <w:rPr>
          <w:rFonts w:ascii="仿宋" w:hAnsi="仿宋" w:eastAsia="仿宋"/>
          <w:sz w:val="24"/>
        </w:rPr>
      </w:pPr>
      <w:r>
        <w:rPr>
          <w:rFonts w:ascii="仿宋" w:hAnsi="仿宋" w:eastAsia="仿宋"/>
          <w:sz w:val="24"/>
        </w:rPr>
        <w:t>4.2、与投标人有经济利益关系；</w:t>
      </w:r>
    </w:p>
    <w:p>
      <w:pPr>
        <w:spacing w:line="360" w:lineRule="auto"/>
        <w:ind w:firstLine="480" w:firstLineChars="200"/>
        <w:rPr>
          <w:rFonts w:ascii="仿宋" w:hAnsi="仿宋" w:eastAsia="仿宋"/>
          <w:sz w:val="24"/>
        </w:rPr>
      </w:pPr>
      <w:r>
        <w:rPr>
          <w:rFonts w:ascii="仿宋" w:hAnsi="仿宋" w:eastAsia="仿宋"/>
          <w:sz w:val="24"/>
        </w:rPr>
        <w:t>4.3、曾因在招标、评标以及其他与招标投标有关系活动中从事违法行为而受到行政处罚或者刑事处罚的；</w:t>
      </w:r>
    </w:p>
    <w:p>
      <w:pPr>
        <w:spacing w:line="360" w:lineRule="auto"/>
        <w:ind w:firstLine="480" w:firstLineChars="200"/>
        <w:rPr>
          <w:rFonts w:ascii="仿宋" w:hAnsi="仿宋" w:eastAsia="仿宋"/>
          <w:sz w:val="24"/>
        </w:rPr>
      </w:pPr>
      <w:r>
        <w:rPr>
          <w:rFonts w:ascii="仿宋" w:hAnsi="仿宋" w:eastAsia="仿宋"/>
          <w:sz w:val="24"/>
        </w:rPr>
        <w:t>4.4、与投标人有其他利害关系。</w:t>
      </w:r>
    </w:p>
    <w:p>
      <w:pPr>
        <w:spacing w:line="360" w:lineRule="auto"/>
        <w:ind w:firstLine="480" w:firstLineChars="200"/>
        <w:outlineLvl w:val="1"/>
        <w:rPr>
          <w:rFonts w:ascii="仿宋" w:hAnsi="仿宋" w:eastAsia="仿宋"/>
          <w:sz w:val="24"/>
        </w:rPr>
      </w:pPr>
      <w:bookmarkStart w:id="66" w:name="_Toc518288126"/>
      <w:bookmarkStart w:id="67" w:name="_Toc436169036"/>
      <w:r>
        <w:rPr>
          <w:rFonts w:ascii="仿宋" w:hAnsi="仿宋" w:eastAsia="仿宋"/>
          <w:sz w:val="24"/>
        </w:rPr>
        <w:t>三、评标程序</w:t>
      </w:r>
      <w:bookmarkEnd w:id="66"/>
      <w:bookmarkEnd w:id="67"/>
    </w:p>
    <w:p>
      <w:pPr>
        <w:spacing w:line="360" w:lineRule="auto"/>
        <w:ind w:firstLine="480" w:firstLineChars="200"/>
        <w:rPr>
          <w:rFonts w:ascii="仿宋" w:hAnsi="仿宋" w:eastAsia="仿宋"/>
          <w:sz w:val="24"/>
        </w:rPr>
      </w:pPr>
      <w:r>
        <w:rPr>
          <w:rFonts w:ascii="仿宋" w:hAnsi="仿宋" w:eastAsia="仿宋"/>
          <w:sz w:val="24"/>
        </w:rPr>
        <w:t>1、宣布评标纪律以及回避提示；</w:t>
      </w:r>
    </w:p>
    <w:p>
      <w:pPr>
        <w:spacing w:line="360" w:lineRule="auto"/>
        <w:ind w:firstLine="480" w:firstLineChars="200"/>
        <w:rPr>
          <w:rFonts w:ascii="仿宋" w:hAnsi="仿宋" w:eastAsia="仿宋"/>
          <w:sz w:val="24"/>
        </w:rPr>
      </w:pPr>
      <w:r>
        <w:rPr>
          <w:rFonts w:ascii="仿宋" w:hAnsi="仿宋" w:eastAsia="仿宋"/>
          <w:sz w:val="24"/>
        </w:rPr>
        <w:t>2、组织推荐评标委员会组长；</w:t>
      </w:r>
    </w:p>
    <w:p>
      <w:pPr>
        <w:spacing w:line="360" w:lineRule="auto"/>
        <w:ind w:firstLine="480" w:firstLineChars="200"/>
        <w:rPr>
          <w:rFonts w:ascii="仿宋" w:hAnsi="仿宋" w:eastAsia="仿宋"/>
          <w:sz w:val="24"/>
        </w:rPr>
      </w:pPr>
      <w:r>
        <w:rPr>
          <w:rFonts w:ascii="仿宋" w:hAnsi="仿宋" w:eastAsia="仿宋"/>
          <w:sz w:val="24"/>
        </w:rPr>
        <w:t>3、资格性审查；</w:t>
      </w:r>
    </w:p>
    <w:p>
      <w:pPr>
        <w:spacing w:line="360" w:lineRule="auto"/>
        <w:ind w:firstLine="480" w:firstLineChars="200"/>
        <w:rPr>
          <w:rFonts w:ascii="仿宋" w:hAnsi="仿宋" w:eastAsia="仿宋"/>
          <w:sz w:val="24"/>
        </w:rPr>
      </w:pPr>
      <w:r>
        <w:rPr>
          <w:rFonts w:ascii="仿宋" w:hAnsi="仿宋" w:eastAsia="仿宋"/>
          <w:sz w:val="24"/>
        </w:rPr>
        <w:t>4、符合性审查；</w:t>
      </w:r>
    </w:p>
    <w:p>
      <w:pPr>
        <w:spacing w:line="360" w:lineRule="auto"/>
        <w:ind w:firstLine="480" w:firstLineChars="200"/>
        <w:rPr>
          <w:rFonts w:ascii="仿宋" w:hAnsi="仿宋" w:eastAsia="仿宋"/>
          <w:sz w:val="24"/>
        </w:rPr>
      </w:pPr>
      <w:r>
        <w:rPr>
          <w:rFonts w:ascii="仿宋" w:hAnsi="仿宋" w:eastAsia="仿宋"/>
          <w:sz w:val="24"/>
        </w:rPr>
        <w:t>5、技术和商务评审；</w:t>
      </w:r>
    </w:p>
    <w:p>
      <w:pPr>
        <w:spacing w:line="360" w:lineRule="auto"/>
        <w:ind w:firstLine="480" w:firstLineChars="200"/>
        <w:rPr>
          <w:rFonts w:ascii="仿宋" w:hAnsi="仿宋" w:eastAsia="仿宋"/>
          <w:sz w:val="24"/>
        </w:rPr>
      </w:pPr>
      <w:r>
        <w:rPr>
          <w:rFonts w:ascii="仿宋" w:hAnsi="仿宋" w:eastAsia="仿宋"/>
          <w:sz w:val="24"/>
        </w:rPr>
        <w:t>6、澄清有关问题；</w:t>
      </w:r>
    </w:p>
    <w:p>
      <w:pPr>
        <w:spacing w:line="360" w:lineRule="auto"/>
        <w:ind w:firstLine="480" w:firstLineChars="200"/>
        <w:rPr>
          <w:rFonts w:ascii="仿宋" w:hAnsi="仿宋" w:eastAsia="仿宋"/>
          <w:sz w:val="24"/>
        </w:rPr>
      </w:pPr>
      <w:r>
        <w:rPr>
          <w:rFonts w:ascii="仿宋" w:hAnsi="仿宋" w:eastAsia="仿宋"/>
          <w:sz w:val="24"/>
        </w:rPr>
        <w:t>7、比较与评价；</w:t>
      </w:r>
    </w:p>
    <w:p>
      <w:pPr>
        <w:spacing w:line="360" w:lineRule="auto"/>
        <w:ind w:firstLine="480" w:firstLineChars="200"/>
        <w:rPr>
          <w:rFonts w:ascii="仿宋" w:hAnsi="仿宋" w:eastAsia="仿宋"/>
          <w:sz w:val="24"/>
        </w:rPr>
      </w:pPr>
      <w:r>
        <w:rPr>
          <w:rFonts w:ascii="仿宋" w:hAnsi="仿宋" w:eastAsia="仿宋"/>
          <w:sz w:val="24"/>
        </w:rPr>
        <w:t>8、确定中标人或者推荐中标候选人名单；</w:t>
      </w:r>
    </w:p>
    <w:p>
      <w:pPr>
        <w:spacing w:line="360" w:lineRule="auto"/>
        <w:ind w:firstLine="480" w:firstLineChars="200"/>
        <w:rPr>
          <w:rFonts w:ascii="仿宋" w:hAnsi="仿宋" w:eastAsia="仿宋"/>
          <w:sz w:val="24"/>
        </w:rPr>
      </w:pPr>
      <w:r>
        <w:rPr>
          <w:rFonts w:ascii="仿宋" w:hAnsi="仿宋" w:eastAsia="仿宋"/>
          <w:sz w:val="24"/>
        </w:rPr>
        <w:t>9、编写评标报告；</w:t>
      </w:r>
    </w:p>
    <w:p>
      <w:pPr>
        <w:spacing w:line="360" w:lineRule="auto"/>
        <w:ind w:firstLine="480" w:firstLineChars="200"/>
        <w:rPr>
          <w:rFonts w:ascii="仿宋" w:hAnsi="仿宋" w:eastAsia="仿宋"/>
          <w:sz w:val="24"/>
        </w:rPr>
      </w:pPr>
      <w:r>
        <w:rPr>
          <w:rFonts w:ascii="仿宋" w:hAnsi="仿宋" w:eastAsia="仿宋"/>
          <w:sz w:val="24"/>
        </w:rPr>
        <w:t>10、宣布评标结果。</w:t>
      </w:r>
    </w:p>
    <w:p>
      <w:pPr>
        <w:spacing w:line="360" w:lineRule="auto"/>
        <w:ind w:firstLine="480" w:firstLineChars="200"/>
        <w:outlineLvl w:val="1"/>
        <w:rPr>
          <w:rFonts w:ascii="仿宋" w:hAnsi="仿宋" w:eastAsia="仿宋"/>
          <w:sz w:val="24"/>
        </w:rPr>
      </w:pPr>
      <w:bookmarkStart w:id="68" w:name="_Toc518288127"/>
      <w:bookmarkStart w:id="69" w:name="_Toc436169037"/>
      <w:r>
        <w:rPr>
          <w:rFonts w:ascii="仿宋" w:hAnsi="仿宋" w:eastAsia="仿宋"/>
          <w:sz w:val="24"/>
        </w:rPr>
        <w:t>四、评标</w:t>
      </w:r>
      <w:bookmarkEnd w:id="68"/>
      <w:bookmarkEnd w:id="69"/>
    </w:p>
    <w:p>
      <w:pPr>
        <w:spacing w:line="360" w:lineRule="auto"/>
        <w:ind w:firstLine="480" w:firstLineChars="200"/>
        <w:rPr>
          <w:rFonts w:ascii="仿宋" w:hAnsi="仿宋" w:eastAsia="仿宋"/>
          <w:sz w:val="24"/>
        </w:rPr>
      </w:pPr>
      <w:r>
        <w:rPr>
          <w:rFonts w:ascii="仿宋" w:hAnsi="仿宋" w:eastAsia="仿宋"/>
          <w:sz w:val="24"/>
        </w:rPr>
        <w:t>1、资格性审查</w:t>
      </w:r>
    </w:p>
    <w:p>
      <w:pPr>
        <w:spacing w:line="360" w:lineRule="auto"/>
        <w:ind w:firstLine="480" w:firstLineChars="200"/>
        <w:rPr>
          <w:rFonts w:ascii="仿宋" w:hAnsi="仿宋" w:eastAsia="仿宋"/>
          <w:sz w:val="24"/>
        </w:rPr>
      </w:pPr>
      <w:r>
        <w:rPr>
          <w:rFonts w:ascii="仿宋" w:hAnsi="仿宋" w:eastAsia="仿宋"/>
          <w:sz w:val="24"/>
        </w:rPr>
        <w:t>1.1、评标委员会依据法律法规和招标文件的规定，对投标文件中的资格证明、投标保证金等进行审查，以确定投标人是否具备投标资格。</w:t>
      </w:r>
    </w:p>
    <w:p>
      <w:pPr>
        <w:spacing w:line="360" w:lineRule="auto"/>
        <w:ind w:firstLine="480" w:firstLineChars="200"/>
        <w:rPr>
          <w:rFonts w:ascii="仿宋" w:hAnsi="仿宋" w:eastAsia="仿宋"/>
          <w:sz w:val="24"/>
        </w:rPr>
      </w:pPr>
      <w:r>
        <w:rPr>
          <w:rFonts w:ascii="仿宋" w:hAnsi="仿宋" w:eastAsia="仿宋"/>
          <w:sz w:val="24"/>
        </w:rPr>
        <w:t>1.2、招标人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360" w:lineRule="auto"/>
        <w:ind w:firstLine="480" w:firstLineChars="200"/>
        <w:rPr>
          <w:rFonts w:ascii="仿宋" w:hAnsi="仿宋" w:eastAsia="仿宋"/>
          <w:sz w:val="24"/>
        </w:rPr>
      </w:pPr>
      <w:r>
        <w:rPr>
          <w:rFonts w:ascii="仿宋" w:hAnsi="仿宋" w:eastAsia="仿宋"/>
          <w:sz w:val="24"/>
        </w:rPr>
        <w:t>2、符合性审查</w:t>
      </w:r>
    </w:p>
    <w:p>
      <w:pPr>
        <w:spacing w:line="360" w:lineRule="auto"/>
        <w:ind w:firstLine="480" w:firstLineChars="200"/>
        <w:rPr>
          <w:rFonts w:ascii="仿宋" w:hAnsi="仿宋" w:eastAsia="仿宋"/>
          <w:sz w:val="24"/>
        </w:rPr>
      </w:pPr>
      <w:r>
        <w:rPr>
          <w:rFonts w:ascii="仿宋" w:hAnsi="仿宋" w:eastAsia="仿宋"/>
          <w:sz w:val="24"/>
        </w:rPr>
        <w:t>评标委员会依据招标文件的规定，从投标文件的有效性、完整性和对招标文件的响应程度进行审查，以确定是否对招标文件的实质性要求作出响应。</w:t>
      </w:r>
    </w:p>
    <w:p>
      <w:pPr>
        <w:spacing w:line="360" w:lineRule="auto"/>
        <w:ind w:firstLine="480" w:firstLineChars="200"/>
        <w:rPr>
          <w:rFonts w:ascii="仿宋" w:hAnsi="仿宋" w:eastAsia="仿宋"/>
          <w:sz w:val="24"/>
        </w:rPr>
      </w:pPr>
      <w:r>
        <w:rPr>
          <w:rFonts w:ascii="仿宋" w:hAnsi="仿宋" w:eastAsia="仿宋"/>
          <w:sz w:val="24"/>
        </w:rPr>
        <w:t>3、在资格性和符合性审查同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360" w:lineRule="auto"/>
        <w:ind w:firstLine="480" w:firstLineChars="200"/>
        <w:rPr>
          <w:rFonts w:ascii="仿宋" w:hAnsi="仿宋" w:eastAsia="仿宋"/>
          <w:sz w:val="24"/>
        </w:rPr>
      </w:pPr>
      <w:r>
        <w:rPr>
          <w:rFonts w:ascii="仿宋" w:hAnsi="仿宋" w:eastAsia="仿宋"/>
          <w:sz w:val="24"/>
        </w:rPr>
        <w:t>4、技术和商务评审</w:t>
      </w:r>
    </w:p>
    <w:p>
      <w:pPr>
        <w:spacing w:line="360" w:lineRule="auto"/>
        <w:ind w:firstLine="480" w:firstLineChars="200"/>
        <w:rPr>
          <w:rFonts w:ascii="仿宋" w:hAnsi="仿宋" w:eastAsia="仿宋"/>
          <w:sz w:val="24"/>
        </w:rPr>
      </w:pPr>
      <w:r>
        <w:rPr>
          <w:rFonts w:ascii="仿宋" w:hAnsi="仿宋" w:eastAsia="仿宋"/>
          <w:sz w:val="24"/>
        </w:rPr>
        <w:t>4.1、按照招标文件要求，审查投标人所投服务的技术要求和参数，并记录实质性响应、技术偏离等事项，进行技术部分的评审。</w:t>
      </w:r>
    </w:p>
    <w:p>
      <w:pPr>
        <w:spacing w:line="360" w:lineRule="auto"/>
        <w:ind w:firstLine="480" w:firstLineChars="200"/>
        <w:rPr>
          <w:rFonts w:ascii="仿宋" w:hAnsi="仿宋" w:eastAsia="仿宋"/>
          <w:sz w:val="24"/>
        </w:rPr>
      </w:pPr>
      <w:r>
        <w:rPr>
          <w:rFonts w:ascii="仿宋" w:hAnsi="仿宋" w:eastAsia="仿宋"/>
          <w:sz w:val="24"/>
        </w:rPr>
        <w:t>4.2、按照招标文件要求，审查投标人业绩、政策性加分、价格扣除等事项，进行商务部分评审，并记录相关事项。</w:t>
      </w:r>
    </w:p>
    <w:p>
      <w:pPr>
        <w:spacing w:line="360" w:lineRule="auto"/>
        <w:ind w:firstLine="480" w:firstLineChars="200"/>
        <w:rPr>
          <w:rFonts w:ascii="仿宋" w:hAnsi="仿宋" w:eastAsia="仿宋"/>
          <w:sz w:val="24"/>
        </w:rPr>
      </w:pPr>
      <w:r>
        <w:rPr>
          <w:rFonts w:ascii="仿宋" w:hAnsi="仿宋" w:eastAsia="仿宋"/>
          <w:sz w:val="24"/>
        </w:rPr>
        <w:t>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pPr>
        <w:spacing w:line="360" w:lineRule="auto"/>
        <w:ind w:firstLine="480" w:firstLineChars="200"/>
        <w:rPr>
          <w:rFonts w:ascii="仿宋" w:hAnsi="仿宋" w:eastAsia="仿宋"/>
          <w:sz w:val="24"/>
        </w:rPr>
      </w:pPr>
      <w:r>
        <w:rPr>
          <w:rFonts w:ascii="仿宋" w:hAnsi="仿宋" w:eastAsia="仿宋"/>
          <w:sz w:val="24"/>
        </w:rPr>
        <w:t>4.4、采用综合评分法的，商务部分由评标委员会审核认定评分结果，交各投标人授权代表签字确认。</w:t>
      </w:r>
    </w:p>
    <w:p>
      <w:pPr>
        <w:spacing w:line="360" w:lineRule="auto"/>
        <w:ind w:firstLine="480" w:firstLineChars="200"/>
        <w:outlineLvl w:val="1"/>
        <w:rPr>
          <w:rFonts w:ascii="仿宋" w:hAnsi="仿宋" w:eastAsia="仿宋"/>
          <w:sz w:val="24"/>
        </w:rPr>
      </w:pPr>
      <w:bookmarkStart w:id="70" w:name="_Toc436169038"/>
      <w:bookmarkStart w:id="71" w:name="_Toc518288128"/>
      <w:r>
        <w:rPr>
          <w:rFonts w:ascii="仿宋" w:hAnsi="仿宋" w:eastAsia="仿宋"/>
          <w:sz w:val="24"/>
        </w:rPr>
        <w:t>五、澄清有关问题</w:t>
      </w:r>
      <w:bookmarkEnd w:id="70"/>
      <w:bookmarkEnd w:id="71"/>
    </w:p>
    <w:p>
      <w:pPr>
        <w:spacing w:line="360" w:lineRule="auto"/>
        <w:ind w:firstLine="480" w:firstLineChars="200"/>
        <w:rPr>
          <w:rFonts w:ascii="仿宋" w:hAnsi="仿宋" w:eastAsia="仿宋"/>
          <w:sz w:val="24"/>
        </w:rPr>
      </w:pPr>
      <w:r>
        <w:rPr>
          <w:rFonts w:ascii="仿宋" w:hAnsi="仿宋" w:eastAsia="仿宋"/>
          <w:sz w:val="24"/>
        </w:rPr>
        <w:t>1、对投标文件中含义不明确、同类问题表述不一致或者有明显文字和计算错误的内容，评标委员会应以书面形式要求投标人做出必要的澄清、承诺、说明或者纠正。投标人的澄清、承诺、说明或者纠正应采取书面形式，由法定代表人或者被授权代表签字，并不得超出投标文件的范围或者改变投标文件的实质性内容。</w:t>
      </w:r>
    </w:p>
    <w:p>
      <w:pPr>
        <w:spacing w:line="360" w:lineRule="auto"/>
        <w:ind w:firstLine="480" w:firstLineChars="200"/>
        <w:rPr>
          <w:rFonts w:ascii="仿宋" w:hAnsi="仿宋" w:eastAsia="仿宋"/>
          <w:sz w:val="24"/>
        </w:rPr>
      </w:pPr>
      <w:r>
        <w:rPr>
          <w:rFonts w:ascii="仿宋" w:hAnsi="仿宋" w:eastAsia="仿宋"/>
          <w:sz w:val="24"/>
        </w:rPr>
        <w:t>2、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360" w:lineRule="auto"/>
        <w:ind w:firstLine="480" w:firstLineChars="200"/>
        <w:rPr>
          <w:rFonts w:ascii="仿宋" w:hAnsi="仿宋" w:eastAsia="仿宋"/>
          <w:sz w:val="24"/>
        </w:rPr>
      </w:pPr>
      <w:r>
        <w:rPr>
          <w:rFonts w:ascii="仿宋" w:hAnsi="仿宋" w:eastAsia="仿宋"/>
          <w:sz w:val="24"/>
        </w:rPr>
        <w:t>3、评标委员会可以允许投标人修改或者澄清其投标文件中不构成实质偏离的、微小的、非正规的不一致或者不规则的地方。</w:t>
      </w:r>
    </w:p>
    <w:p>
      <w:pPr>
        <w:spacing w:line="360" w:lineRule="auto"/>
        <w:ind w:firstLine="480" w:firstLineChars="200"/>
        <w:outlineLvl w:val="1"/>
        <w:rPr>
          <w:rFonts w:ascii="仿宋" w:hAnsi="仿宋" w:eastAsia="仿宋"/>
          <w:sz w:val="24"/>
        </w:rPr>
      </w:pPr>
      <w:bookmarkStart w:id="72" w:name="_Toc518288129"/>
      <w:bookmarkStart w:id="73" w:name="_Toc436169039"/>
      <w:r>
        <w:rPr>
          <w:rFonts w:ascii="仿宋" w:hAnsi="仿宋" w:eastAsia="仿宋"/>
          <w:sz w:val="24"/>
        </w:rPr>
        <w:t>六、定标</w:t>
      </w:r>
      <w:bookmarkEnd w:id="72"/>
      <w:bookmarkEnd w:id="73"/>
    </w:p>
    <w:p>
      <w:pPr>
        <w:spacing w:line="360" w:lineRule="auto"/>
        <w:ind w:firstLine="480" w:firstLineChars="200"/>
        <w:rPr>
          <w:rFonts w:ascii="仿宋" w:hAnsi="仿宋" w:eastAsia="仿宋"/>
          <w:sz w:val="24"/>
        </w:rPr>
      </w:pPr>
      <w:r>
        <w:rPr>
          <w:rFonts w:ascii="仿宋" w:hAnsi="仿宋" w:eastAsia="仿宋"/>
          <w:sz w:val="24"/>
        </w:rPr>
        <w:t>1、除投标人须知规定评标委员会直接确定中标人外，招标人应当依据评标委员会推荐的中标候选人确定中标人，评标委员会推荐中标候选人的人数见投标人须知。</w:t>
      </w:r>
    </w:p>
    <w:p>
      <w:pPr>
        <w:spacing w:line="360" w:lineRule="auto"/>
        <w:ind w:firstLine="480" w:firstLineChars="200"/>
        <w:rPr>
          <w:rFonts w:ascii="仿宋" w:hAnsi="仿宋" w:eastAsia="仿宋"/>
          <w:sz w:val="24"/>
        </w:rPr>
      </w:pPr>
      <w:r>
        <w:rPr>
          <w:rFonts w:ascii="仿宋" w:hAnsi="仿宋" w:eastAsia="仿宋"/>
          <w:sz w:val="24"/>
        </w:rPr>
        <w:t>2、采用综合评分法的，按照评审后综合得分由高到低顺序排列。综合得分相同的，投标报价低的投标人中标；综合得分且投标报价相同的，技术评审得分最高的投标人中标；仍相同的，由评标委员会投票，按照少数服从多数的原则确定中标人。</w:t>
      </w:r>
    </w:p>
    <w:p>
      <w:pPr>
        <w:spacing w:line="360" w:lineRule="auto"/>
        <w:ind w:firstLine="480" w:firstLineChars="200"/>
        <w:rPr>
          <w:rFonts w:ascii="仿宋" w:hAnsi="仿宋" w:eastAsia="仿宋"/>
          <w:sz w:val="24"/>
        </w:rPr>
      </w:pPr>
      <w:r>
        <w:rPr>
          <w:rFonts w:ascii="仿宋" w:hAnsi="仿宋" w:eastAsia="仿宋"/>
          <w:sz w:val="24"/>
        </w:rPr>
        <w:t>3、采用最低评标价法的，按投标报价（小微企业扣除后价格）由低到高顺序排列。投标报价相同的，由评标委员会投票，按照少数服从多数的原则确定中标人。评标委员会认为，排在前面的中标候选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照顺序排在后面的中标候选人递补，以此类推。</w:t>
      </w:r>
    </w:p>
    <w:p>
      <w:pPr>
        <w:spacing w:line="360" w:lineRule="auto"/>
        <w:ind w:firstLine="480" w:firstLineChars="200"/>
        <w:rPr>
          <w:rFonts w:ascii="仿宋" w:hAnsi="仿宋" w:eastAsia="仿宋"/>
          <w:sz w:val="24"/>
        </w:rPr>
      </w:pPr>
      <w:r>
        <w:rPr>
          <w:rFonts w:ascii="仿宋" w:hAnsi="仿宋" w:eastAsia="仿宋" w:cs="仿宋"/>
          <w:kern w:val="0"/>
          <w:sz w:val="24"/>
        </w:rPr>
        <w:t>4</w:t>
      </w:r>
      <w:r>
        <w:rPr>
          <w:rFonts w:ascii="仿宋" w:hAnsi="仿宋" w:eastAsia="仿宋"/>
          <w:sz w:val="24"/>
        </w:rPr>
        <w:t>、</w:t>
      </w:r>
      <w:r>
        <w:rPr>
          <w:rFonts w:ascii="仿宋" w:hAnsi="仿宋" w:eastAsia="仿宋" w:cs="仿宋"/>
          <w:kern w:val="0"/>
          <w:sz w:val="24"/>
        </w:rPr>
        <w:t>招标文件规定推荐中标候选人的，中标候选人数量应当根据招标需要并在招标活动开始前确定，由评标委员会按照招标文件规定的评标办法确定各投标人排列顺序，依照顺序推荐中标候选人数量。</w:t>
      </w:r>
    </w:p>
    <w:p>
      <w:pPr>
        <w:spacing w:line="360" w:lineRule="auto"/>
        <w:ind w:firstLine="480" w:firstLineChars="200"/>
        <w:rPr>
          <w:rFonts w:ascii="仿宋" w:hAnsi="仿宋" w:eastAsia="仿宋"/>
          <w:sz w:val="24"/>
        </w:rPr>
      </w:pPr>
      <w:r>
        <w:rPr>
          <w:rFonts w:ascii="仿宋" w:hAnsi="仿宋" w:eastAsia="仿宋"/>
          <w:sz w:val="24"/>
        </w:rPr>
        <w:t>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360" w:lineRule="auto"/>
        <w:ind w:firstLine="480" w:firstLineChars="200"/>
        <w:rPr>
          <w:rFonts w:ascii="仿宋" w:hAnsi="仿宋" w:eastAsia="仿宋" w:cs="仿宋"/>
          <w:kern w:val="0"/>
          <w:sz w:val="24"/>
        </w:rPr>
      </w:pPr>
      <w:r>
        <w:rPr>
          <w:rFonts w:ascii="仿宋" w:hAnsi="仿宋" w:eastAsia="仿宋" w:cs="仿宋"/>
          <w:kern w:val="0"/>
          <w:sz w:val="24"/>
        </w:rPr>
        <w:t>根据前项规定，导致各包参与综合得分排名的投标人不足3家时，评委会认为不足以构成竞争的有权对该包予以废标。</w:t>
      </w:r>
    </w:p>
    <w:p>
      <w:pPr>
        <w:spacing w:line="360" w:lineRule="auto"/>
        <w:ind w:firstLine="480" w:firstLineChars="200"/>
        <w:rPr>
          <w:rFonts w:ascii="仿宋" w:hAnsi="仿宋" w:eastAsia="仿宋" w:cs="仿宋"/>
          <w:kern w:val="0"/>
          <w:sz w:val="24"/>
        </w:rPr>
      </w:pPr>
      <w:r>
        <w:rPr>
          <w:rFonts w:ascii="仿宋" w:hAnsi="仿宋" w:eastAsia="仿宋" w:cs="仿宋"/>
          <w:kern w:val="0"/>
          <w:sz w:val="24"/>
        </w:rPr>
        <w:t>6</w:t>
      </w:r>
      <w:r>
        <w:rPr>
          <w:rFonts w:ascii="仿宋" w:hAnsi="仿宋" w:eastAsia="仿宋"/>
          <w:sz w:val="24"/>
        </w:rPr>
        <w:t>、</w:t>
      </w:r>
      <w:r>
        <w:rPr>
          <w:rFonts w:ascii="仿宋" w:hAnsi="仿宋" w:eastAsia="仿宋" w:cs="仿宋"/>
          <w:kern w:val="0"/>
          <w:sz w:val="24"/>
        </w:rPr>
        <w:t>按照有关规定中标人因不可抗力或者自身原因不能履行政府采购合同须顺延排序第二的投标人中标的，其原投标报价不得超过原中标人投标报价与投标保证金之和，报经监督部门核准后可以确定排序第二的投标人中标。否则应予废标，由招标人依法重新组织招标。</w:t>
      </w:r>
    </w:p>
    <w:p>
      <w:pPr>
        <w:spacing w:line="360" w:lineRule="auto"/>
        <w:ind w:firstLine="480" w:firstLineChars="200"/>
        <w:rPr>
          <w:rFonts w:ascii="仿宋" w:hAnsi="仿宋" w:eastAsia="仿宋" w:cs="仿宋"/>
          <w:kern w:val="0"/>
          <w:sz w:val="24"/>
        </w:rPr>
      </w:pPr>
      <w:r>
        <w:rPr>
          <w:rFonts w:ascii="仿宋" w:hAnsi="仿宋" w:eastAsia="仿宋" w:cs="仿宋"/>
          <w:kern w:val="0"/>
          <w:sz w:val="24"/>
        </w:rPr>
        <w:t>7</w:t>
      </w:r>
      <w:r>
        <w:rPr>
          <w:rFonts w:ascii="仿宋" w:hAnsi="仿宋" w:eastAsia="仿宋"/>
          <w:sz w:val="24"/>
        </w:rPr>
        <w:t>、</w:t>
      </w:r>
      <w:r>
        <w:rPr>
          <w:rFonts w:ascii="仿宋" w:hAnsi="仿宋" w:eastAsia="仿宋" w:cs="仿宋"/>
          <w:kern w:val="0"/>
          <w:sz w:val="24"/>
        </w:rPr>
        <w:t>以入围方式确定多个中标人的，入围中标人数量应当根据招标需要并在招标活动开始前确定，由评标委员会按照招标文件规定的评标办法确定各投标人排列顺序，依照顺序确定入围中标人，但合格投标人数量必须大于或者等于入围中标人数量的1.5倍；入围中标人的中标价格统一按照入围中标人中最低报价确定。否则应予以废标，由招标人依法重新组织招标。</w:t>
      </w:r>
    </w:p>
    <w:p>
      <w:pPr>
        <w:spacing w:line="360" w:lineRule="auto"/>
        <w:ind w:firstLine="480" w:firstLineChars="200"/>
        <w:rPr>
          <w:rFonts w:ascii="仿宋" w:hAnsi="仿宋" w:eastAsia="仿宋" w:cs="仿宋"/>
          <w:kern w:val="0"/>
          <w:sz w:val="24"/>
        </w:rPr>
      </w:pPr>
      <w:r>
        <w:rPr>
          <w:rFonts w:ascii="仿宋" w:hAnsi="仿宋" w:eastAsia="仿宋" w:cs="仿宋"/>
          <w:kern w:val="0"/>
          <w:sz w:val="24"/>
        </w:rPr>
        <w:t>8</w:t>
      </w:r>
      <w:r>
        <w:rPr>
          <w:rFonts w:ascii="仿宋" w:hAnsi="仿宋" w:eastAsia="仿宋"/>
          <w:sz w:val="24"/>
        </w:rPr>
        <w:t>、</w:t>
      </w:r>
      <w:r>
        <w:rPr>
          <w:rFonts w:ascii="仿宋" w:hAnsi="仿宋" w:eastAsia="仿宋" w:cs="仿宋"/>
          <w:kern w:val="0"/>
          <w:sz w:val="24"/>
        </w:rPr>
        <w:t>评审完成后，评标委员会参与并审定评标报告，招标人向所有投标人宣布评审结果。</w:t>
      </w:r>
    </w:p>
    <w:p>
      <w:pPr>
        <w:spacing w:line="360" w:lineRule="auto"/>
        <w:ind w:firstLine="480" w:firstLineChars="200"/>
        <w:outlineLvl w:val="1"/>
        <w:rPr>
          <w:rFonts w:ascii="仿宋" w:hAnsi="仿宋" w:eastAsia="仿宋"/>
          <w:sz w:val="24"/>
        </w:rPr>
      </w:pPr>
      <w:bookmarkStart w:id="74" w:name="_Toc436169040"/>
      <w:bookmarkStart w:id="75" w:name="_Toc518288130"/>
      <w:r>
        <w:rPr>
          <w:rFonts w:ascii="仿宋" w:hAnsi="仿宋" w:eastAsia="仿宋"/>
          <w:sz w:val="24"/>
        </w:rPr>
        <w:t>七、中标公告以及中标通知书</w:t>
      </w:r>
      <w:bookmarkEnd w:id="74"/>
      <w:bookmarkEnd w:id="75"/>
    </w:p>
    <w:p>
      <w:pPr>
        <w:spacing w:line="360" w:lineRule="auto"/>
        <w:ind w:firstLine="480" w:firstLineChars="200"/>
        <w:rPr>
          <w:rFonts w:ascii="仿宋" w:hAnsi="仿宋" w:eastAsia="仿宋" w:cs="仿宋"/>
          <w:kern w:val="0"/>
          <w:sz w:val="24"/>
        </w:rPr>
      </w:pPr>
      <w:r>
        <w:rPr>
          <w:rFonts w:ascii="仿宋" w:hAnsi="仿宋" w:eastAsia="仿宋" w:cs="仿宋"/>
          <w:kern w:val="0"/>
          <w:sz w:val="24"/>
        </w:rPr>
        <w:t>1</w:t>
      </w:r>
      <w:r>
        <w:rPr>
          <w:rFonts w:ascii="仿宋" w:hAnsi="仿宋" w:eastAsia="仿宋"/>
          <w:sz w:val="24"/>
        </w:rPr>
        <w:t>、</w:t>
      </w:r>
      <w:r>
        <w:rPr>
          <w:rFonts w:ascii="仿宋" w:hAnsi="仿宋" w:eastAsia="仿宋" w:cs="仿宋"/>
          <w:kern w:val="0"/>
          <w:sz w:val="24"/>
        </w:rPr>
        <w:t>招标人或者采购代理机构应当自中标人确定之日起3个工作日内，发出中标通知书，并在</w:t>
      </w:r>
      <w:r>
        <w:rPr>
          <w:rFonts w:hint="eastAsia" w:ascii="仿宋" w:hAnsi="仿宋" w:eastAsia="仿宋" w:cs="仿宋"/>
          <w:kern w:val="0"/>
          <w:sz w:val="24"/>
        </w:rPr>
        <w:t>青岛开放大学</w:t>
      </w:r>
      <w:r>
        <w:rPr>
          <w:rFonts w:ascii="仿宋" w:hAnsi="仿宋" w:eastAsia="仿宋" w:cs="仿宋"/>
          <w:kern w:val="0"/>
          <w:sz w:val="24"/>
        </w:rPr>
        <w:t>门户网站公告中标结果（公告期限为3个工作日），招标文件随中标结果同时公告。</w:t>
      </w:r>
    </w:p>
    <w:p>
      <w:pPr>
        <w:spacing w:line="360" w:lineRule="auto"/>
        <w:ind w:firstLine="480" w:firstLineChars="200"/>
        <w:rPr>
          <w:rStyle w:val="19"/>
          <w:sz w:val="24"/>
        </w:rPr>
      </w:pPr>
      <w:r>
        <w:rPr>
          <w:rFonts w:ascii="仿宋" w:hAnsi="仿宋" w:eastAsia="仿宋" w:cs="仿宋"/>
          <w:kern w:val="0"/>
          <w:sz w:val="24"/>
        </w:rPr>
        <w:t>2</w:t>
      </w:r>
      <w:r>
        <w:rPr>
          <w:rFonts w:ascii="仿宋" w:hAnsi="仿宋" w:eastAsia="仿宋"/>
          <w:sz w:val="24"/>
        </w:rPr>
        <w:t>、</w:t>
      </w:r>
      <w:r>
        <w:rPr>
          <w:rStyle w:val="19"/>
          <w:sz w:val="24"/>
        </w:rPr>
        <w:t>中标通知书对招标人和中标人都具有法律效力。中标通知书发出后，招标人改变中标结果的，或者中标人放弃中标，应当依法承担法律责任。</w:t>
      </w:r>
    </w:p>
    <w:p>
      <w:pPr>
        <w:spacing w:line="360" w:lineRule="auto"/>
        <w:ind w:firstLine="480" w:firstLineChars="200"/>
        <w:outlineLvl w:val="1"/>
        <w:rPr>
          <w:rFonts w:ascii="仿宋" w:hAnsi="仿宋" w:eastAsia="仿宋"/>
          <w:sz w:val="24"/>
        </w:rPr>
      </w:pPr>
      <w:bookmarkStart w:id="76" w:name="_Toc518288131"/>
      <w:bookmarkStart w:id="77" w:name="_Toc436169041"/>
      <w:r>
        <w:rPr>
          <w:rFonts w:ascii="仿宋" w:hAnsi="仿宋" w:eastAsia="仿宋"/>
          <w:sz w:val="24"/>
        </w:rPr>
        <w:t>八、投标无效</w:t>
      </w:r>
      <w:bookmarkEnd w:id="76"/>
      <w:bookmarkEnd w:id="77"/>
    </w:p>
    <w:p>
      <w:pPr>
        <w:spacing w:line="360" w:lineRule="auto"/>
        <w:ind w:firstLine="480" w:firstLineChars="200"/>
        <w:rPr>
          <w:rStyle w:val="19"/>
          <w:sz w:val="24"/>
        </w:rPr>
      </w:pPr>
      <w:r>
        <w:rPr>
          <w:rStyle w:val="19"/>
          <w:sz w:val="24"/>
        </w:rPr>
        <w:t>出现下列情形之一的，投标无效：</w:t>
      </w:r>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投标报价高于采购预算的；</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对“</w:t>
      </w:r>
      <w:r>
        <w:rPr>
          <w:rStyle w:val="19"/>
          <w:rFonts w:hint="eastAsia" w:cs="宋体"/>
          <w:sz w:val="24"/>
        </w:rPr>
        <w:t>★</w:t>
      </w:r>
      <w:r>
        <w:rPr>
          <w:rStyle w:val="19"/>
          <w:rFonts w:cs="Lucida Fax"/>
          <w:sz w:val="24"/>
        </w:rPr>
        <w:t>”</w:t>
      </w:r>
      <w:r>
        <w:rPr>
          <w:rStyle w:val="19"/>
          <w:sz w:val="24"/>
        </w:rPr>
        <w:t>条款未做出实质性响应或者发生负偏离的；</w:t>
      </w:r>
    </w:p>
    <w:p>
      <w:pPr>
        <w:spacing w:line="360" w:lineRule="auto"/>
        <w:ind w:firstLine="480" w:firstLineChars="200"/>
        <w:rPr>
          <w:rStyle w:val="19"/>
          <w:sz w:val="24"/>
        </w:rPr>
      </w:pPr>
      <w:r>
        <w:rPr>
          <w:rStyle w:val="19"/>
          <w:sz w:val="24"/>
        </w:rPr>
        <w:t>3</w:t>
      </w:r>
      <w:r>
        <w:rPr>
          <w:rFonts w:ascii="仿宋" w:hAnsi="仿宋" w:eastAsia="仿宋"/>
          <w:sz w:val="24"/>
        </w:rPr>
        <w:t>、</w:t>
      </w:r>
      <w:r>
        <w:rPr>
          <w:rStyle w:val="19"/>
          <w:sz w:val="24"/>
        </w:rPr>
        <w:t>对允许偏离的非实质性条款，偏离招标文件规定的偏离范围和幅度的；</w:t>
      </w:r>
    </w:p>
    <w:p>
      <w:pPr>
        <w:spacing w:line="360" w:lineRule="auto"/>
        <w:ind w:firstLine="480" w:firstLineChars="200"/>
        <w:rPr>
          <w:rStyle w:val="19"/>
          <w:sz w:val="24"/>
        </w:rPr>
      </w:pPr>
      <w:r>
        <w:rPr>
          <w:rStyle w:val="19"/>
          <w:sz w:val="24"/>
        </w:rPr>
        <w:t>4</w:t>
      </w:r>
      <w:r>
        <w:rPr>
          <w:rFonts w:ascii="仿宋" w:hAnsi="仿宋" w:eastAsia="仿宋"/>
          <w:sz w:val="24"/>
        </w:rPr>
        <w:t>、</w:t>
      </w:r>
      <w:r>
        <w:rPr>
          <w:rStyle w:val="19"/>
          <w:sz w:val="24"/>
        </w:rPr>
        <w:t>不按照招标文件规定报价、没有分项报价、拒绝报价、有多个报价（招标文件另有规定的除外）、有选择性报价、附有条件的报价或者拒绝修正报价的；</w:t>
      </w:r>
    </w:p>
    <w:p>
      <w:pPr>
        <w:spacing w:line="360" w:lineRule="auto"/>
        <w:ind w:firstLine="480" w:firstLineChars="200"/>
        <w:rPr>
          <w:rStyle w:val="19"/>
          <w:sz w:val="24"/>
        </w:rPr>
      </w:pPr>
      <w:r>
        <w:rPr>
          <w:rStyle w:val="19"/>
          <w:sz w:val="24"/>
        </w:rPr>
        <w:t>5</w:t>
      </w:r>
      <w:r>
        <w:rPr>
          <w:rFonts w:ascii="仿宋" w:hAnsi="仿宋" w:eastAsia="仿宋"/>
          <w:sz w:val="24"/>
        </w:rPr>
        <w:t>、</w:t>
      </w:r>
      <w:r>
        <w:rPr>
          <w:rStyle w:val="19"/>
          <w:sz w:val="24"/>
        </w:rPr>
        <w:t>投标文件正副本未区分或者内容严重不一致的；</w:t>
      </w:r>
    </w:p>
    <w:p>
      <w:pPr>
        <w:spacing w:line="360" w:lineRule="auto"/>
        <w:ind w:firstLine="480" w:firstLineChars="200"/>
        <w:rPr>
          <w:rStyle w:val="19"/>
          <w:sz w:val="24"/>
        </w:rPr>
      </w:pPr>
      <w:r>
        <w:rPr>
          <w:rStyle w:val="19"/>
          <w:sz w:val="24"/>
        </w:rPr>
        <w:t>6</w:t>
      </w:r>
      <w:r>
        <w:rPr>
          <w:rFonts w:ascii="仿宋" w:hAnsi="仿宋" w:eastAsia="仿宋"/>
          <w:sz w:val="24"/>
        </w:rPr>
        <w:t>、</w:t>
      </w:r>
      <w:r>
        <w:rPr>
          <w:rStyle w:val="19"/>
          <w:sz w:val="24"/>
        </w:rPr>
        <w:t>投标人未按招标文件要求交纳投标保证金的；</w:t>
      </w:r>
    </w:p>
    <w:p>
      <w:pPr>
        <w:spacing w:line="360" w:lineRule="auto"/>
        <w:ind w:firstLine="480" w:firstLineChars="200"/>
        <w:rPr>
          <w:rStyle w:val="19"/>
          <w:sz w:val="24"/>
        </w:rPr>
      </w:pPr>
      <w:r>
        <w:rPr>
          <w:rStyle w:val="19"/>
          <w:sz w:val="24"/>
        </w:rPr>
        <w:t>7</w:t>
      </w:r>
      <w:r>
        <w:rPr>
          <w:rFonts w:ascii="仿宋" w:hAnsi="仿宋" w:eastAsia="仿宋"/>
          <w:sz w:val="24"/>
        </w:rPr>
        <w:t>、</w:t>
      </w:r>
      <w:r>
        <w:rPr>
          <w:rStyle w:val="19"/>
          <w:sz w:val="24"/>
        </w:rPr>
        <w:t>投标有效期不满足招标文件要求的；</w:t>
      </w:r>
    </w:p>
    <w:p>
      <w:pPr>
        <w:spacing w:line="360" w:lineRule="auto"/>
        <w:ind w:firstLine="480" w:firstLineChars="200"/>
        <w:rPr>
          <w:rStyle w:val="19"/>
          <w:sz w:val="24"/>
        </w:rPr>
      </w:pPr>
      <w:r>
        <w:rPr>
          <w:rStyle w:val="19"/>
          <w:sz w:val="24"/>
        </w:rPr>
        <w:t>8</w:t>
      </w:r>
      <w:r>
        <w:rPr>
          <w:rFonts w:ascii="仿宋" w:hAnsi="仿宋" w:eastAsia="仿宋"/>
          <w:sz w:val="24"/>
        </w:rPr>
        <w:t>、</w:t>
      </w:r>
      <w:r>
        <w:rPr>
          <w:rStyle w:val="19"/>
          <w:sz w:val="24"/>
        </w:rPr>
        <w:t>投标超出营业执照经营范围的；</w:t>
      </w:r>
    </w:p>
    <w:p>
      <w:pPr>
        <w:spacing w:line="360" w:lineRule="auto"/>
        <w:ind w:firstLine="480" w:firstLineChars="200"/>
        <w:rPr>
          <w:rStyle w:val="19"/>
          <w:sz w:val="24"/>
        </w:rPr>
      </w:pPr>
      <w:r>
        <w:rPr>
          <w:rStyle w:val="19"/>
          <w:sz w:val="24"/>
        </w:rPr>
        <w:t>9</w:t>
      </w:r>
      <w:r>
        <w:rPr>
          <w:rFonts w:ascii="仿宋" w:hAnsi="仿宋" w:eastAsia="仿宋"/>
          <w:sz w:val="24"/>
        </w:rPr>
        <w:t>、</w:t>
      </w:r>
      <w:r>
        <w:rPr>
          <w:rStyle w:val="19"/>
          <w:sz w:val="24"/>
        </w:rPr>
        <w:t>评标委员会2/3及以上成员认定投标方案技术含量低、不符合招标文件要求的；</w:t>
      </w:r>
    </w:p>
    <w:p>
      <w:pPr>
        <w:spacing w:line="360" w:lineRule="auto"/>
        <w:ind w:firstLine="480" w:firstLineChars="200"/>
        <w:rPr>
          <w:rStyle w:val="19"/>
          <w:sz w:val="24"/>
        </w:rPr>
      </w:pPr>
      <w:r>
        <w:rPr>
          <w:rStyle w:val="19"/>
          <w:sz w:val="24"/>
        </w:rPr>
        <w:t>10</w:t>
      </w:r>
      <w:r>
        <w:rPr>
          <w:rFonts w:ascii="仿宋" w:hAnsi="仿宋" w:eastAsia="仿宋"/>
          <w:sz w:val="24"/>
        </w:rPr>
        <w:t>、</w:t>
      </w:r>
      <w:r>
        <w:rPr>
          <w:rStyle w:val="19"/>
          <w:sz w:val="24"/>
        </w:rPr>
        <w:t>评标委员会判定投标人涂改证明材料或者提供虚假材料和承诺的；</w:t>
      </w:r>
    </w:p>
    <w:p>
      <w:pPr>
        <w:spacing w:line="360" w:lineRule="auto"/>
        <w:ind w:firstLine="480" w:firstLineChars="200"/>
        <w:rPr>
          <w:rStyle w:val="19"/>
          <w:sz w:val="24"/>
        </w:rPr>
      </w:pPr>
      <w:r>
        <w:rPr>
          <w:rStyle w:val="19"/>
          <w:sz w:val="24"/>
        </w:rPr>
        <w:t>11</w:t>
      </w:r>
      <w:r>
        <w:rPr>
          <w:rFonts w:ascii="仿宋" w:hAnsi="仿宋" w:eastAsia="仿宋"/>
          <w:sz w:val="24"/>
        </w:rPr>
        <w:t>、</w:t>
      </w:r>
      <w:r>
        <w:rPr>
          <w:rStyle w:val="19"/>
          <w:sz w:val="24"/>
        </w:rPr>
        <w:t>未按招标文件规定编制、签署、盖章、装订和密封投标文件的；</w:t>
      </w:r>
    </w:p>
    <w:p>
      <w:pPr>
        <w:spacing w:line="360" w:lineRule="auto"/>
        <w:ind w:firstLine="480" w:firstLineChars="200"/>
        <w:rPr>
          <w:rStyle w:val="19"/>
          <w:sz w:val="24"/>
        </w:rPr>
      </w:pPr>
      <w:r>
        <w:rPr>
          <w:rStyle w:val="19"/>
          <w:sz w:val="24"/>
        </w:rPr>
        <w:t>12</w:t>
      </w:r>
      <w:r>
        <w:rPr>
          <w:rFonts w:ascii="仿宋" w:hAnsi="仿宋" w:eastAsia="仿宋"/>
          <w:sz w:val="24"/>
        </w:rPr>
        <w:t>、</w:t>
      </w:r>
      <w:r>
        <w:rPr>
          <w:rStyle w:val="19"/>
          <w:sz w:val="24"/>
        </w:rPr>
        <w:t>招标文件规定投标人必须提交的资格、资信等证明文件未提交、提交不齐全或者复印件未装订于投标文件中的；</w:t>
      </w:r>
    </w:p>
    <w:p>
      <w:pPr>
        <w:spacing w:line="360" w:lineRule="auto"/>
        <w:ind w:firstLine="480" w:firstLineChars="200"/>
        <w:rPr>
          <w:rStyle w:val="19"/>
          <w:sz w:val="24"/>
        </w:rPr>
      </w:pPr>
      <w:r>
        <w:rPr>
          <w:rStyle w:val="19"/>
          <w:sz w:val="24"/>
        </w:rPr>
        <w:t>13</w:t>
      </w:r>
      <w:r>
        <w:rPr>
          <w:rFonts w:ascii="仿宋" w:hAnsi="仿宋" w:eastAsia="仿宋"/>
          <w:sz w:val="24"/>
        </w:rPr>
        <w:t>、</w:t>
      </w:r>
      <w:r>
        <w:rPr>
          <w:rStyle w:val="19"/>
          <w:sz w:val="24"/>
        </w:rPr>
        <w:t>资格、资信等证明文件可以为复印件的，复印件未加盖单位公章的；</w:t>
      </w:r>
    </w:p>
    <w:p>
      <w:pPr>
        <w:spacing w:line="360" w:lineRule="auto"/>
        <w:ind w:firstLine="480" w:firstLineChars="200"/>
        <w:rPr>
          <w:rStyle w:val="19"/>
          <w:sz w:val="24"/>
        </w:rPr>
      </w:pPr>
      <w:r>
        <w:rPr>
          <w:rStyle w:val="19"/>
          <w:sz w:val="24"/>
        </w:rPr>
        <w:t>14</w:t>
      </w:r>
      <w:r>
        <w:rPr>
          <w:rFonts w:ascii="仿宋" w:hAnsi="仿宋" w:eastAsia="仿宋"/>
          <w:sz w:val="24"/>
        </w:rPr>
        <w:t>、</w:t>
      </w:r>
      <w:r>
        <w:rPr>
          <w:rStyle w:val="19"/>
          <w:sz w:val="24"/>
        </w:rPr>
        <w:t>不符合法律、法规和招标文件中规定的其他要求的。</w:t>
      </w:r>
    </w:p>
    <w:p>
      <w:pPr>
        <w:spacing w:line="360" w:lineRule="auto"/>
        <w:ind w:firstLine="480" w:firstLineChars="200"/>
        <w:rPr>
          <w:rStyle w:val="19"/>
          <w:sz w:val="24"/>
        </w:rPr>
      </w:pPr>
      <w:r>
        <w:rPr>
          <w:rStyle w:val="19"/>
          <w:sz w:val="24"/>
        </w:rPr>
        <w:t>对投标无效的认定，必须经评标委员会集体做出决定并出具投标无效的事实依据，由投标人法定代表人或者被授权代表签字确认，拒绝签字的，不影响评标委员会做出的决定。</w:t>
      </w:r>
    </w:p>
    <w:p>
      <w:pPr>
        <w:spacing w:line="360" w:lineRule="auto"/>
        <w:ind w:firstLine="480" w:firstLineChars="200"/>
        <w:outlineLvl w:val="1"/>
        <w:rPr>
          <w:rFonts w:ascii="仿宋" w:hAnsi="仿宋" w:eastAsia="仿宋"/>
          <w:sz w:val="24"/>
        </w:rPr>
      </w:pPr>
      <w:bookmarkStart w:id="78" w:name="_Toc436169042"/>
      <w:bookmarkStart w:id="79" w:name="_Toc518288132"/>
      <w:r>
        <w:rPr>
          <w:rFonts w:ascii="仿宋" w:hAnsi="仿宋" w:eastAsia="仿宋"/>
          <w:sz w:val="24"/>
        </w:rPr>
        <w:t>九、废标</w:t>
      </w:r>
      <w:bookmarkEnd w:id="78"/>
      <w:bookmarkEnd w:id="79"/>
    </w:p>
    <w:p>
      <w:pPr>
        <w:spacing w:line="360" w:lineRule="auto"/>
        <w:ind w:firstLine="480" w:firstLineChars="200"/>
        <w:rPr>
          <w:rStyle w:val="19"/>
          <w:sz w:val="24"/>
        </w:rPr>
      </w:pPr>
      <w:r>
        <w:rPr>
          <w:rStyle w:val="19"/>
          <w:sz w:val="24"/>
        </w:rPr>
        <w:t>出现下列情形之一的，应予废标：</w:t>
      </w:r>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在投标截止时间结束后参加投标的投标人不足3家，符合招标文件规定条件的投标人不足3家或者对招标文件作实质性响应的投标人不足3家的；</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出现影响采购公正的违法违规行为的；</w:t>
      </w:r>
    </w:p>
    <w:p>
      <w:pPr>
        <w:spacing w:line="360" w:lineRule="auto"/>
        <w:ind w:firstLine="480" w:firstLineChars="200"/>
        <w:rPr>
          <w:rStyle w:val="19"/>
          <w:sz w:val="24"/>
        </w:rPr>
      </w:pPr>
      <w:r>
        <w:rPr>
          <w:rStyle w:val="19"/>
          <w:sz w:val="24"/>
        </w:rPr>
        <w:t>3</w:t>
      </w:r>
      <w:r>
        <w:rPr>
          <w:rFonts w:ascii="仿宋" w:hAnsi="仿宋" w:eastAsia="仿宋"/>
          <w:sz w:val="24"/>
        </w:rPr>
        <w:t>、</w:t>
      </w:r>
      <w:r>
        <w:rPr>
          <w:rStyle w:val="19"/>
          <w:sz w:val="24"/>
        </w:rPr>
        <w:t>投标人的报价均超过采购预算的；</w:t>
      </w:r>
    </w:p>
    <w:p>
      <w:pPr>
        <w:spacing w:line="360" w:lineRule="auto"/>
        <w:ind w:firstLine="480" w:firstLineChars="200"/>
        <w:rPr>
          <w:rStyle w:val="19"/>
          <w:sz w:val="24"/>
        </w:rPr>
      </w:pPr>
      <w:r>
        <w:rPr>
          <w:rStyle w:val="19"/>
          <w:sz w:val="24"/>
        </w:rPr>
        <w:t>4</w:t>
      </w:r>
      <w:r>
        <w:rPr>
          <w:rFonts w:ascii="仿宋" w:hAnsi="仿宋" w:eastAsia="仿宋"/>
          <w:sz w:val="24"/>
        </w:rPr>
        <w:t>、</w:t>
      </w:r>
      <w:r>
        <w:rPr>
          <w:rStyle w:val="19"/>
          <w:sz w:val="24"/>
        </w:rPr>
        <w:t>因重大变故，采购任务取消的；</w:t>
      </w:r>
    </w:p>
    <w:p>
      <w:pPr>
        <w:spacing w:line="360" w:lineRule="auto"/>
        <w:ind w:firstLine="480" w:firstLineChars="200"/>
        <w:rPr>
          <w:rStyle w:val="19"/>
          <w:sz w:val="24"/>
        </w:rPr>
      </w:pPr>
      <w:r>
        <w:rPr>
          <w:rStyle w:val="19"/>
          <w:sz w:val="24"/>
        </w:rPr>
        <w:t>5</w:t>
      </w:r>
      <w:r>
        <w:rPr>
          <w:rFonts w:ascii="仿宋" w:hAnsi="仿宋" w:eastAsia="仿宋"/>
          <w:sz w:val="24"/>
        </w:rPr>
        <w:t>、</w:t>
      </w:r>
      <w:r>
        <w:rPr>
          <w:rStyle w:val="19"/>
          <w:sz w:val="24"/>
        </w:rPr>
        <w:t>法律、法规以及招标文件规定的其他废标情形。</w:t>
      </w:r>
    </w:p>
    <w:p>
      <w:pPr>
        <w:spacing w:line="360" w:lineRule="auto"/>
        <w:ind w:firstLine="480" w:firstLineChars="200"/>
        <w:rPr>
          <w:rStyle w:val="19"/>
          <w:sz w:val="24"/>
        </w:rPr>
      </w:pPr>
      <w:r>
        <w:rPr>
          <w:rStyle w:val="19"/>
          <w:sz w:val="24"/>
        </w:rPr>
        <w:t>废标后，招标人或者采购代理机构应当将废标理由通知所有投标人。</w:t>
      </w:r>
    </w:p>
    <w:p>
      <w:pPr>
        <w:spacing w:line="360" w:lineRule="auto"/>
        <w:ind w:firstLine="480" w:firstLineChars="200"/>
        <w:outlineLvl w:val="1"/>
        <w:rPr>
          <w:rFonts w:ascii="仿宋" w:hAnsi="仿宋" w:eastAsia="仿宋"/>
          <w:sz w:val="24"/>
        </w:rPr>
      </w:pPr>
      <w:bookmarkStart w:id="80" w:name="_Toc518288133"/>
      <w:bookmarkStart w:id="81" w:name="_Toc436169043"/>
      <w:r>
        <w:rPr>
          <w:rFonts w:ascii="仿宋" w:hAnsi="仿宋" w:eastAsia="仿宋"/>
          <w:sz w:val="24"/>
        </w:rPr>
        <w:t>十、</w:t>
      </w:r>
      <w:bookmarkEnd w:id="80"/>
      <w:bookmarkEnd w:id="81"/>
      <w:bookmarkStart w:id="82" w:name="_Toc518288134"/>
      <w:bookmarkStart w:id="83" w:name="_Toc436169044"/>
      <w:r>
        <w:rPr>
          <w:rFonts w:ascii="仿宋" w:hAnsi="仿宋" w:eastAsia="仿宋"/>
          <w:sz w:val="24"/>
        </w:rPr>
        <w:t>违法违规情形</w:t>
      </w:r>
      <w:bookmarkEnd w:id="82"/>
      <w:bookmarkEnd w:id="83"/>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有下列情形之一的，属于投标人相互串通投标：</w:t>
      </w:r>
    </w:p>
    <w:p>
      <w:pPr>
        <w:spacing w:line="360" w:lineRule="auto"/>
        <w:ind w:firstLine="480" w:firstLineChars="200"/>
        <w:rPr>
          <w:rStyle w:val="19"/>
          <w:sz w:val="24"/>
        </w:rPr>
      </w:pPr>
      <w:r>
        <w:rPr>
          <w:rStyle w:val="19"/>
          <w:sz w:val="24"/>
        </w:rPr>
        <w:t>1.1</w:t>
      </w:r>
      <w:r>
        <w:rPr>
          <w:rFonts w:ascii="仿宋" w:hAnsi="仿宋" w:eastAsia="仿宋"/>
          <w:sz w:val="24"/>
        </w:rPr>
        <w:t>、</w:t>
      </w:r>
      <w:r>
        <w:rPr>
          <w:rStyle w:val="19"/>
          <w:sz w:val="24"/>
        </w:rPr>
        <w:t>投标人之间协商投标报价等投标文件的实质性内容；</w:t>
      </w:r>
    </w:p>
    <w:p>
      <w:pPr>
        <w:spacing w:line="360" w:lineRule="auto"/>
        <w:ind w:firstLine="480" w:firstLineChars="200"/>
        <w:rPr>
          <w:rStyle w:val="19"/>
          <w:sz w:val="24"/>
        </w:rPr>
      </w:pPr>
      <w:r>
        <w:rPr>
          <w:rStyle w:val="19"/>
          <w:sz w:val="24"/>
        </w:rPr>
        <w:t>1.2</w:t>
      </w:r>
      <w:r>
        <w:rPr>
          <w:rFonts w:ascii="仿宋" w:hAnsi="仿宋" w:eastAsia="仿宋"/>
          <w:sz w:val="24"/>
        </w:rPr>
        <w:t>、</w:t>
      </w:r>
      <w:r>
        <w:rPr>
          <w:rStyle w:val="19"/>
          <w:sz w:val="24"/>
        </w:rPr>
        <w:t>投标人之间约定中标人；</w:t>
      </w:r>
    </w:p>
    <w:p>
      <w:pPr>
        <w:spacing w:line="360" w:lineRule="auto"/>
        <w:ind w:firstLine="480" w:firstLineChars="200"/>
        <w:rPr>
          <w:rStyle w:val="19"/>
          <w:sz w:val="24"/>
        </w:rPr>
      </w:pPr>
      <w:r>
        <w:rPr>
          <w:rStyle w:val="19"/>
          <w:sz w:val="24"/>
        </w:rPr>
        <w:t>1.3</w:t>
      </w:r>
      <w:r>
        <w:rPr>
          <w:rFonts w:ascii="仿宋" w:hAnsi="仿宋" w:eastAsia="仿宋"/>
          <w:sz w:val="24"/>
        </w:rPr>
        <w:t>、</w:t>
      </w:r>
      <w:r>
        <w:rPr>
          <w:rStyle w:val="19"/>
          <w:sz w:val="24"/>
        </w:rPr>
        <w:t>投标人之间约定部分投标人放弃投标或者中标；</w:t>
      </w:r>
    </w:p>
    <w:p>
      <w:pPr>
        <w:spacing w:line="360" w:lineRule="auto"/>
        <w:ind w:firstLine="480" w:firstLineChars="200"/>
        <w:rPr>
          <w:rStyle w:val="19"/>
          <w:sz w:val="24"/>
        </w:rPr>
      </w:pPr>
      <w:r>
        <w:rPr>
          <w:rStyle w:val="19"/>
          <w:sz w:val="24"/>
        </w:rPr>
        <w:t>1.4</w:t>
      </w:r>
      <w:r>
        <w:rPr>
          <w:rFonts w:ascii="仿宋" w:hAnsi="仿宋" w:eastAsia="仿宋"/>
          <w:sz w:val="24"/>
        </w:rPr>
        <w:t>、</w:t>
      </w:r>
      <w:r>
        <w:rPr>
          <w:rStyle w:val="19"/>
          <w:sz w:val="24"/>
        </w:rPr>
        <w:t>属于同一集团、协会、商会等组织成员的投标人按照该组织要求协同投标；</w:t>
      </w:r>
    </w:p>
    <w:p>
      <w:pPr>
        <w:spacing w:line="360" w:lineRule="auto"/>
        <w:ind w:firstLine="480" w:firstLineChars="200"/>
        <w:rPr>
          <w:rStyle w:val="19"/>
          <w:sz w:val="24"/>
        </w:rPr>
      </w:pPr>
      <w:r>
        <w:rPr>
          <w:rStyle w:val="19"/>
          <w:sz w:val="24"/>
        </w:rPr>
        <w:t>1.5</w:t>
      </w:r>
      <w:r>
        <w:rPr>
          <w:rFonts w:ascii="仿宋" w:hAnsi="仿宋" w:eastAsia="仿宋"/>
          <w:sz w:val="24"/>
        </w:rPr>
        <w:t>、</w:t>
      </w:r>
      <w:r>
        <w:rPr>
          <w:rStyle w:val="19"/>
          <w:sz w:val="24"/>
        </w:rPr>
        <w:t>投标人之间为谋取中标或者排斥特定投标人而采取的其他联合行动。</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有下列情形之一的，视为投标人相互串通投标，评标委员会应当出具违法违规认定意见并作投标无效处理：</w:t>
      </w:r>
    </w:p>
    <w:p>
      <w:pPr>
        <w:spacing w:line="360" w:lineRule="auto"/>
        <w:ind w:firstLine="480" w:firstLineChars="200"/>
        <w:rPr>
          <w:rStyle w:val="19"/>
          <w:sz w:val="24"/>
        </w:rPr>
      </w:pPr>
      <w:r>
        <w:rPr>
          <w:rStyle w:val="19"/>
          <w:sz w:val="24"/>
        </w:rPr>
        <w:t>2.1</w:t>
      </w:r>
      <w:r>
        <w:rPr>
          <w:rFonts w:ascii="仿宋" w:hAnsi="仿宋" w:eastAsia="仿宋"/>
          <w:sz w:val="24"/>
        </w:rPr>
        <w:t>、</w:t>
      </w:r>
      <w:r>
        <w:rPr>
          <w:rStyle w:val="19"/>
          <w:sz w:val="24"/>
        </w:rPr>
        <w:t>不同投标人的投标文件由同一单位或者个人编制；</w:t>
      </w:r>
    </w:p>
    <w:p>
      <w:pPr>
        <w:spacing w:line="360" w:lineRule="auto"/>
        <w:ind w:firstLine="480" w:firstLineChars="200"/>
        <w:rPr>
          <w:rStyle w:val="19"/>
          <w:sz w:val="24"/>
        </w:rPr>
      </w:pPr>
      <w:r>
        <w:rPr>
          <w:rStyle w:val="19"/>
          <w:sz w:val="24"/>
        </w:rPr>
        <w:t>2.2</w:t>
      </w:r>
      <w:r>
        <w:rPr>
          <w:rFonts w:ascii="仿宋" w:hAnsi="仿宋" w:eastAsia="仿宋"/>
          <w:sz w:val="24"/>
        </w:rPr>
        <w:t>、</w:t>
      </w:r>
      <w:r>
        <w:rPr>
          <w:rStyle w:val="19"/>
          <w:sz w:val="24"/>
        </w:rPr>
        <w:t>不同投标人委托同一单位或者个人办理投标事宜；</w:t>
      </w:r>
    </w:p>
    <w:p>
      <w:pPr>
        <w:spacing w:line="360" w:lineRule="auto"/>
        <w:ind w:firstLine="480" w:firstLineChars="200"/>
        <w:rPr>
          <w:rStyle w:val="19"/>
          <w:sz w:val="24"/>
        </w:rPr>
      </w:pPr>
      <w:r>
        <w:rPr>
          <w:rStyle w:val="19"/>
          <w:sz w:val="24"/>
        </w:rPr>
        <w:t>2.3</w:t>
      </w:r>
      <w:r>
        <w:rPr>
          <w:rFonts w:ascii="仿宋" w:hAnsi="仿宋" w:eastAsia="仿宋"/>
          <w:sz w:val="24"/>
        </w:rPr>
        <w:t>、</w:t>
      </w:r>
      <w:r>
        <w:rPr>
          <w:rStyle w:val="19"/>
          <w:sz w:val="24"/>
        </w:rPr>
        <w:t>不同投标人的投标文件载明的项目管理成员为同一人；</w:t>
      </w:r>
    </w:p>
    <w:p>
      <w:pPr>
        <w:spacing w:line="360" w:lineRule="auto"/>
        <w:ind w:firstLine="480" w:firstLineChars="200"/>
        <w:rPr>
          <w:rStyle w:val="19"/>
          <w:sz w:val="24"/>
        </w:rPr>
      </w:pPr>
      <w:r>
        <w:rPr>
          <w:rStyle w:val="19"/>
          <w:sz w:val="24"/>
        </w:rPr>
        <w:t>2.4</w:t>
      </w:r>
      <w:r>
        <w:rPr>
          <w:rFonts w:ascii="仿宋" w:hAnsi="仿宋" w:eastAsia="仿宋"/>
          <w:sz w:val="24"/>
        </w:rPr>
        <w:t>、</w:t>
      </w:r>
      <w:r>
        <w:rPr>
          <w:rStyle w:val="19"/>
          <w:sz w:val="24"/>
        </w:rPr>
        <w:t>不同投标人的投标文件异常一致或者投标报价呈规律性差异；</w:t>
      </w:r>
    </w:p>
    <w:p>
      <w:pPr>
        <w:spacing w:line="360" w:lineRule="auto"/>
        <w:ind w:firstLine="480" w:firstLineChars="200"/>
        <w:rPr>
          <w:rStyle w:val="19"/>
          <w:sz w:val="24"/>
        </w:rPr>
      </w:pPr>
      <w:r>
        <w:rPr>
          <w:rStyle w:val="19"/>
          <w:sz w:val="24"/>
        </w:rPr>
        <w:t>2.5</w:t>
      </w:r>
      <w:r>
        <w:rPr>
          <w:rFonts w:ascii="仿宋" w:hAnsi="仿宋" w:eastAsia="仿宋"/>
          <w:sz w:val="24"/>
        </w:rPr>
        <w:t>、</w:t>
      </w:r>
      <w:r>
        <w:rPr>
          <w:rStyle w:val="19"/>
          <w:sz w:val="24"/>
        </w:rPr>
        <w:t>不同投标人的投标文件相互混装；</w:t>
      </w:r>
    </w:p>
    <w:p>
      <w:pPr>
        <w:spacing w:line="360" w:lineRule="auto"/>
        <w:ind w:firstLine="480" w:firstLineChars="200"/>
        <w:rPr>
          <w:rStyle w:val="19"/>
          <w:sz w:val="24"/>
        </w:rPr>
      </w:pPr>
      <w:r>
        <w:rPr>
          <w:rStyle w:val="19"/>
          <w:sz w:val="24"/>
        </w:rPr>
        <w:t>2.6</w:t>
      </w:r>
      <w:r>
        <w:rPr>
          <w:rFonts w:ascii="仿宋" w:hAnsi="仿宋" w:eastAsia="仿宋"/>
          <w:sz w:val="24"/>
        </w:rPr>
        <w:t>、</w:t>
      </w:r>
      <w:r>
        <w:rPr>
          <w:rStyle w:val="19"/>
          <w:sz w:val="24"/>
        </w:rPr>
        <w:t>不同投标人的投标保证金从同一单位或者个人的账户转出。</w:t>
      </w:r>
    </w:p>
    <w:p>
      <w:pPr>
        <w:spacing w:line="360" w:lineRule="auto"/>
        <w:ind w:firstLine="480" w:firstLineChars="200"/>
        <w:rPr>
          <w:rStyle w:val="19"/>
          <w:sz w:val="24"/>
        </w:rPr>
      </w:pPr>
      <w:r>
        <w:rPr>
          <w:rStyle w:val="19"/>
          <w:sz w:val="24"/>
        </w:rPr>
        <w:t>3</w:t>
      </w:r>
      <w:r>
        <w:rPr>
          <w:rFonts w:ascii="仿宋" w:hAnsi="仿宋" w:eastAsia="仿宋"/>
          <w:sz w:val="24"/>
        </w:rPr>
        <w:t>、</w:t>
      </w:r>
      <w:r>
        <w:rPr>
          <w:rStyle w:val="19"/>
          <w:sz w:val="24"/>
        </w:rPr>
        <w:t>有下列情形之一的，属于招标人与投标人串通投标：</w:t>
      </w:r>
    </w:p>
    <w:p>
      <w:pPr>
        <w:spacing w:line="360" w:lineRule="auto"/>
        <w:ind w:firstLine="480" w:firstLineChars="200"/>
        <w:rPr>
          <w:rStyle w:val="19"/>
          <w:sz w:val="24"/>
        </w:rPr>
      </w:pPr>
      <w:r>
        <w:rPr>
          <w:rStyle w:val="19"/>
          <w:sz w:val="24"/>
        </w:rPr>
        <w:t>3.1</w:t>
      </w:r>
      <w:r>
        <w:rPr>
          <w:rFonts w:ascii="仿宋" w:hAnsi="仿宋" w:eastAsia="仿宋"/>
          <w:sz w:val="24"/>
        </w:rPr>
        <w:t>、</w:t>
      </w:r>
      <w:r>
        <w:rPr>
          <w:rStyle w:val="19"/>
          <w:sz w:val="24"/>
        </w:rPr>
        <w:t>招标人在开标前开启投标文件并将有关信息泄露给其他投标人；</w:t>
      </w:r>
    </w:p>
    <w:p>
      <w:pPr>
        <w:spacing w:line="360" w:lineRule="auto"/>
        <w:ind w:firstLine="480" w:firstLineChars="200"/>
        <w:rPr>
          <w:rStyle w:val="19"/>
          <w:sz w:val="24"/>
        </w:rPr>
      </w:pPr>
      <w:r>
        <w:rPr>
          <w:rStyle w:val="19"/>
          <w:sz w:val="24"/>
        </w:rPr>
        <w:t>3.2</w:t>
      </w:r>
      <w:r>
        <w:rPr>
          <w:rFonts w:ascii="仿宋" w:hAnsi="仿宋" w:eastAsia="仿宋"/>
          <w:sz w:val="24"/>
        </w:rPr>
        <w:t>、</w:t>
      </w:r>
      <w:r>
        <w:rPr>
          <w:rStyle w:val="19"/>
          <w:sz w:val="24"/>
        </w:rPr>
        <w:t>招标人直接或者间接向投标人泄露标底、评标委员会成员等信息；</w:t>
      </w:r>
    </w:p>
    <w:p>
      <w:pPr>
        <w:spacing w:line="360" w:lineRule="auto"/>
        <w:ind w:firstLine="480" w:firstLineChars="200"/>
        <w:rPr>
          <w:rStyle w:val="19"/>
          <w:sz w:val="24"/>
        </w:rPr>
      </w:pPr>
      <w:r>
        <w:rPr>
          <w:rStyle w:val="19"/>
          <w:sz w:val="24"/>
        </w:rPr>
        <w:t>3.3</w:t>
      </w:r>
      <w:r>
        <w:rPr>
          <w:rFonts w:ascii="仿宋" w:hAnsi="仿宋" w:eastAsia="仿宋"/>
          <w:sz w:val="24"/>
        </w:rPr>
        <w:t>、</w:t>
      </w:r>
      <w:r>
        <w:rPr>
          <w:rStyle w:val="19"/>
          <w:sz w:val="24"/>
        </w:rPr>
        <w:t>招标人明示或者暗示投标人压低或者抬高投标报价；</w:t>
      </w:r>
    </w:p>
    <w:p>
      <w:pPr>
        <w:spacing w:line="360" w:lineRule="auto"/>
        <w:ind w:firstLine="480" w:firstLineChars="200"/>
        <w:rPr>
          <w:rStyle w:val="19"/>
          <w:sz w:val="24"/>
        </w:rPr>
      </w:pPr>
      <w:r>
        <w:rPr>
          <w:rStyle w:val="19"/>
          <w:sz w:val="24"/>
        </w:rPr>
        <w:t>3.4</w:t>
      </w:r>
      <w:r>
        <w:rPr>
          <w:rFonts w:ascii="仿宋" w:hAnsi="仿宋" w:eastAsia="仿宋"/>
          <w:sz w:val="24"/>
        </w:rPr>
        <w:t>、</w:t>
      </w:r>
      <w:r>
        <w:rPr>
          <w:rStyle w:val="19"/>
          <w:sz w:val="24"/>
        </w:rPr>
        <w:t>招标人授意投标人撤换、修改投标文件；</w:t>
      </w:r>
    </w:p>
    <w:p>
      <w:pPr>
        <w:spacing w:line="360" w:lineRule="auto"/>
        <w:ind w:firstLine="480" w:firstLineChars="200"/>
        <w:rPr>
          <w:rStyle w:val="19"/>
          <w:sz w:val="24"/>
        </w:rPr>
      </w:pPr>
      <w:r>
        <w:rPr>
          <w:rStyle w:val="19"/>
          <w:sz w:val="24"/>
        </w:rPr>
        <w:t>3.5</w:t>
      </w:r>
      <w:r>
        <w:rPr>
          <w:rFonts w:ascii="仿宋" w:hAnsi="仿宋" w:eastAsia="仿宋"/>
          <w:sz w:val="24"/>
        </w:rPr>
        <w:t>、</w:t>
      </w:r>
      <w:r>
        <w:rPr>
          <w:rStyle w:val="19"/>
          <w:sz w:val="24"/>
        </w:rPr>
        <w:t>招标人明示或者暗示投标人为特定投标人中标提供方便；</w:t>
      </w:r>
    </w:p>
    <w:p>
      <w:pPr>
        <w:spacing w:line="360" w:lineRule="auto"/>
        <w:ind w:firstLine="480" w:firstLineChars="200"/>
        <w:rPr>
          <w:rStyle w:val="19"/>
          <w:sz w:val="24"/>
        </w:rPr>
      </w:pPr>
      <w:r>
        <w:rPr>
          <w:rStyle w:val="19"/>
          <w:sz w:val="24"/>
        </w:rPr>
        <w:t>3.6</w:t>
      </w:r>
      <w:r>
        <w:rPr>
          <w:rFonts w:ascii="仿宋" w:hAnsi="仿宋" w:eastAsia="仿宋"/>
          <w:sz w:val="24"/>
        </w:rPr>
        <w:t>、</w:t>
      </w:r>
      <w:r>
        <w:rPr>
          <w:rStyle w:val="19"/>
          <w:sz w:val="24"/>
        </w:rPr>
        <w:t>招标人与投标人为谋求特定投标人中标而采取的其他串通行为。</w:t>
      </w:r>
    </w:p>
    <w:p>
      <w:pPr>
        <w:spacing w:line="360" w:lineRule="auto"/>
        <w:ind w:firstLine="480" w:firstLineChars="200"/>
        <w:rPr>
          <w:rStyle w:val="19"/>
          <w:sz w:val="24"/>
        </w:rPr>
      </w:pPr>
      <w:r>
        <w:rPr>
          <w:rStyle w:val="19"/>
          <w:sz w:val="24"/>
        </w:rPr>
        <w:t>在开标、评标过程中发现以上违法违规情形的，首先由评标委员会作出认定，对认定确有以上违法违规情形的投标人，按无效投标处理，再进入正常评标程序。</w:t>
      </w:r>
    </w:p>
    <w:p>
      <w:pPr>
        <w:spacing w:line="360" w:lineRule="auto"/>
        <w:ind w:firstLine="480" w:firstLineChars="200"/>
        <w:outlineLvl w:val="1"/>
        <w:rPr>
          <w:rFonts w:ascii="仿宋" w:hAnsi="仿宋" w:eastAsia="仿宋"/>
          <w:sz w:val="24"/>
        </w:rPr>
      </w:pPr>
      <w:bookmarkStart w:id="84" w:name="_Toc436169045"/>
      <w:bookmarkStart w:id="85" w:name="_Toc518288135"/>
      <w:r>
        <w:rPr>
          <w:rFonts w:ascii="仿宋" w:hAnsi="仿宋" w:eastAsia="仿宋"/>
          <w:sz w:val="24"/>
        </w:rPr>
        <w:t>十一、违规处理</w:t>
      </w:r>
      <w:bookmarkEnd w:id="84"/>
      <w:bookmarkEnd w:id="85"/>
    </w:p>
    <w:p>
      <w:pPr>
        <w:spacing w:line="360" w:lineRule="auto"/>
        <w:ind w:firstLine="480" w:firstLineChars="200"/>
        <w:rPr>
          <w:rStyle w:val="19"/>
          <w:sz w:val="24"/>
        </w:rPr>
      </w:pPr>
      <w:r>
        <w:rPr>
          <w:rStyle w:val="19"/>
          <w:sz w:val="24"/>
        </w:rPr>
        <w:t>投标人有下列情形之一的，列入不良行为记录名单，在一至三年内禁止参加青岛市政府采购活动：</w:t>
      </w:r>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提供虚假投标材料谋取中标、成交的；</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采取不正当手段诋毁、排挤其他投标人的；</w:t>
      </w:r>
    </w:p>
    <w:p>
      <w:pPr>
        <w:spacing w:line="360" w:lineRule="auto"/>
        <w:ind w:firstLine="480" w:firstLineChars="200"/>
        <w:rPr>
          <w:rStyle w:val="19"/>
          <w:sz w:val="24"/>
        </w:rPr>
      </w:pPr>
      <w:r>
        <w:rPr>
          <w:rStyle w:val="19"/>
          <w:sz w:val="24"/>
        </w:rPr>
        <w:t>3</w:t>
      </w:r>
      <w:r>
        <w:rPr>
          <w:rFonts w:ascii="仿宋" w:hAnsi="仿宋" w:eastAsia="仿宋"/>
          <w:sz w:val="24"/>
        </w:rPr>
        <w:t>、</w:t>
      </w:r>
      <w:r>
        <w:rPr>
          <w:rStyle w:val="19"/>
          <w:sz w:val="24"/>
        </w:rPr>
        <w:t>与招标人、其他投标人恶意串通的；</w:t>
      </w:r>
    </w:p>
    <w:p>
      <w:pPr>
        <w:spacing w:line="360" w:lineRule="auto"/>
        <w:ind w:firstLine="480" w:firstLineChars="200"/>
        <w:rPr>
          <w:rStyle w:val="19"/>
          <w:sz w:val="24"/>
        </w:rPr>
      </w:pPr>
      <w:r>
        <w:rPr>
          <w:rStyle w:val="19"/>
          <w:sz w:val="24"/>
        </w:rPr>
        <w:t>4</w:t>
      </w:r>
      <w:r>
        <w:rPr>
          <w:rFonts w:ascii="仿宋" w:hAnsi="仿宋" w:eastAsia="仿宋"/>
          <w:sz w:val="24"/>
        </w:rPr>
        <w:t>、</w:t>
      </w:r>
      <w:r>
        <w:rPr>
          <w:rStyle w:val="19"/>
          <w:sz w:val="24"/>
        </w:rPr>
        <w:t>向招标人行贿或者提供其他不正当利益的；</w:t>
      </w:r>
    </w:p>
    <w:p>
      <w:pPr>
        <w:spacing w:line="360" w:lineRule="auto"/>
        <w:ind w:firstLine="480" w:firstLineChars="200"/>
        <w:rPr>
          <w:rStyle w:val="19"/>
          <w:sz w:val="24"/>
        </w:rPr>
      </w:pPr>
      <w:r>
        <w:rPr>
          <w:rStyle w:val="19"/>
          <w:sz w:val="24"/>
        </w:rPr>
        <w:t>5</w:t>
      </w:r>
      <w:r>
        <w:rPr>
          <w:rFonts w:ascii="仿宋" w:hAnsi="仿宋" w:eastAsia="仿宋"/>
          <w:sz w:val="24"/>
        </w:rPr>
        <w:t>、</w:t>
      </w:r>
      <w:r>
        <w:rPr>
          <w:rStyle w:val="19"/>
          <w:sz w:val="24"/>
        </w:rPr>
        <w:t>在招标采购过程中与招标人进行协商谈判的；</w:t>
      </w:r>
    </w:p>
    <w:p>
      <w:pPr>
        <w:spacing w:line="360" w:lineRule="auto"/>
        <w:ind w:firstLine="480" w:firstLineChars="200"/>
        <w:rPr>
          <w:rStyle w:val="19"/>
          <w:sz w:val="24"/>
        </w:rPr>
      </w:pPr>
      <w:r>
        <w:rPr>
          <w:rStyle w:val="19"/>
          <w:sz w:val="24"/>
        </w:rPr>
        <w:t>6</w:t>
      </w:r>
      <w:r>
        <w:rPr>
          <w:rFonts w:ascii="仿宋" w:hAnsi="仿宋" w:eastAsia="仿宋"/>
          <w:sz w:val="24"/>
        </w:rPr>
        <w:t>、</w:t>
      </w:r>
      <w:r>
        <w:rPr>
          <w:rStyle w:val="19"/>
          <w:sz w:val="24"/>
        </w:rPr>
        <w:t>拒绝有关部门监督检查或者提供虚假情况的；</w:t>
      </w:r>
    </w:p>
    <w:p>
      <w:pPr>
        <w:spacing w:line="360" w:lineRule="auto"/>
        <w:ind w:firstLine="480" w:firstLineChars="200"/>
        <w:rPr>
          <w:rStyle w:val="19"/>
          <w:sz w:val="24"/>
        </w:rPr>
      </w:pPr>
      <w:r>
        <w:rPr>
          <w:rStyle w:val="19"/>
          <w:sz w:val="24"/>
        </w:rPr>
        <w:t>7</w:t>
      </w:r>
      <w:r>
        <w:rPr>
          <w:rFonts w:ascii="仿宋" w:hAnsi="仿宋" w:eastAsia="仿宋"/>
          <w:sz w:val="24"/>
        </w:rPr>
        <w:t>、</w:t>
      </w:r>
      <w:r>
        <w:rPr>
          <w:rStyle w:val="19"/>
          <w:sz w:val="24"/>
        </w:rPr>
        <w:t>一年内累计三次以上投诉均查无实据，并带有明显故意行为的；</w:t>
      </w:r>
    </w:p>
    <w:p>
      <w:pPr>
        <w:spacing w:line="360" w:lineRule="auto"/>
        <w:ind w:firstLine="480" w:firstLineChars="200"/>
        <w:rPr>
          <w:rStyle w:val="19"/>
          <w:sz w:val="24"/>
        </w:rPr>
      </w:pPr>
      <w:r>
        <w:rPr>
          <w:rStyle w:val="19"/>
          <w:sz w:val="24"/>
        </w:rPr>
        <w:t>8</w:t>
      </w:r>
      <w:r>
        <w:rPr>
          <w:rFonts w:ascii="仿宋" w:hAnsi="仿宋" w:eastAsia="仿宋"/>
          <w:sz w:val="24"/>
        </w:rPr>
        <w:t>、</w:t>
      </w:r>
      <w:r>
        <w:rPr>
          <w:rStyle w:val="19"/>
          <w:sz w:val="24"/>
        </w:rPr>
        <w:t>捏造事实或者提供虚假投诉材料的；</w:t>
      </w:r>
    </w:p>
    <w:p>
      <w:pPr>
        <w:spacing w:line="360" w:lineRule="auto"/>
        <w:ind w:firstLine="480" w:firstLineChars="200"/>
        <w:rPr>
          <w:rStyle w:val="19"/>
          <w:sz w:val="24"/>
        </w:rPr>
      </w:pPr>
      <w:r>
        <w:rPr>
          <w:rStyle w:val="19"/>
          <w:sz w:val="24"/>
        </w:rPr>
        <w:t>9</w:t>
      </w:r>
      <w:r>
        <w:rPr>
          <w:rFonts w:ascii="仿宋" w:hAnsi="仿宋" w:eastAsia="仿宋"/>
          <w:sz w:val="24"/>
        </w:rPr>
        <w:t>、</w:t>
      </w:r>
      <w:r>
        <w:rPr>
          <w:rStyle w:val="19"/>
          <w:sz w:val="24"/>
        </w:rPr>
        <w:t>不按照规定程序以及正常途径质疑、投诉，采用匿名信、匿名电话、发短信息等手段，威胁、恫吓、辱骂、恶意中伤其他相关当事人的；</w:t>
      </w:r>
    </w:p>
    <w:p>
      <w:pPr>
        <w:spacing w:line="360" w:lineRule="auto"/>
        <w:ind w:firstLine="480" w:firstLineChars="200"/>
        <w:rPr>
          <w:rStyle w:val="19"/>
          <w:sz w:val="24"/>
        </w:rPr>
      </w:pPr>
      <w:r>
        <w:rPr>
          <w:rStyle w:val="19"/>
          <w:sz w:val="24"/>
        </w:rPr>
        <w:t>10</w:t>
      </w:r>
      <w:r>
        <w:rPr>
          <w:rFonts w:ascii="仿宋" w:hAnsi="仿宋" w:eastAsia="仿宋"/>
          <w:sz w:val="24"/>
        </w:rPr>
        <w:t>、</w:t>
      </w:r>
      <w:r>
        <w:rPr>
          <w:rStyle w:val="19"/>
          <w:sz w:val="24"/>
        </w:rPr>
        <w:t>法律、法规和招标文件中规定的其他情形。</w:t>
      </w:r>
    </w:p>
    <w:p>
      <w:pPr>
        <w:spacing w:line="360" w:lineRule="auto"/>
        <w:ind w:firstLine="480" w:firstLineChars="200"/>
        <w:outlineLvl w:val="1"/>
        <w:rPr>
          <w:rFonts w:ascii="仿宋" w:hAnsi="仿宋" w:eastAsia="仿宋"/>
          <w:sz w:val="24"/>
        </w:rPr>
      </w:pPr>
      <w:bookmarkStart w:id="86" w:name="_Toc436169046"/>
      <w:bookmarkStart w:id="87" w:name="_Toc518288136"/>
      <w:r>
        <w:rPr>
          <w:rFonts w:ascii="仿宋" w:hAnsi="仿宋" w:eastAsia="仿宋"/>
          <w:sz w:val="24"/>
        </w:rPr>
        <w:t>十二、关于中标人瑕疵滞后发现的处理规则</w:t>
      </w:r>
      <w:bookmarkEnd w:id="86"/>
      <w:bookmarkEnd w:id="87"/>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无论基于何种原因，本应作无效、废标处理的情形即便未被及时发现而使该投标人进入初审、详细评审或者其它后续程序，包括已经签约的情形，一旦在任何时间被发现存在上述情形，评标委员会均有权随时视情形决定是否取消该投标人的此前评议结果，或者随时视情形决定该投标无效，并有权决定采取相应的补救、纠正措施；若通过补救、纠正措施能够满足招标文件或者招标人要求，评标委员会可以维持既定结果并要求中标人出具补救、纠正措施等承诺，由此产生的一切费用由中标人承担；若通过补救、纠正措施仍不能够满足招标文件或者招标人要求，评标委员会应出具取消该投标人的此前评议结果的复审结论，并予以废标，由此产生的一切损失均由中标人承担。</w:t>
      </w:r>
    </w:p>
    <w:p>
      <w:pPr>
        <w:spacing w:line="360" w:lineRule="auto"/>
        <w:ind w:firstLine="480" w:firstLineChars="200"/>
        <w:rPr>
          <w:rStyle w:val="19"/>
          <w:sz w:val="24"/>
        </w:rPr>
      </w:pPr>
      <w:r>
        <w:rPr>
          <w:rStyle w:val="19"/>
          <w:sz w:val="24"/>
        </w:rPr>
        <w:t>评标委员会认定中标人投标无效、废标或者中标人的此前评议结果被取消的，招标文件规定由评标委员会直接确定中标人的，应予以废标，由招标人依法重新组织招标；招标文件规定由评标委员会推荐中标候选人的，由招标人从推荐中标候选人名单中按顺序重新确定中标人。出现上述情形的一切损失均由取消中标资格的投标人承担。</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若已经超过质疑期限而没有被发现，签署了相关的合同之后才发现存在上述情形，经评标委员会再行审查认为其在技术、必要资质等方面并不存在问题而仅属于商务方面存在瑕疵的问题，若取消该投标人的此前评议结果或者采取类似的处理措施将对本次招标采购更为不利的情形（包括：予以无效投标、废标或者采取类似的处理措施将使本次招标采购成本大幅上升、延误期限以至可能给招标人造成较大损失的），维持中标结果的，招标人必须出具维持中标结果以及是否要求提供特别担保金的书面意见，评标委员会可以维持既定结果并要求中标人出具提供特别担保金承诺，以承担可能产生的赔偿责任；若中标人拒绝提供特别担保金、实际提供的担保金额不足或者招标人不同意维持中标结果的，评标委员会应当决定取消中标人的此前评议结果或者采取类似的处理措施，由此产生的一切损失均由中标人承担。</w:t>
      </w:r>
    </w:p>
    <w:p>
      <w:pPr>
        <w:spacing w:after="312" w:afterLines="100"/>
        <w:rPr>
          <w:rFonts w:ascii="仿宋" w:hAnsi="仿宋" w:eastAsia="仿宋"/>
          <w:sz w:val="24"/>
        </w:rPr>
      </w:pPr>
    </w:p>
    <w:p>
      <w:pPr>
        <w:spacing w:after="312" w:afterLines="100"/>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Lucida Fax">
    <w:panose1 w:val="02060602050505020204"/>
    <w:charset w:val="00"/>
    <w:family w:val="roman"/>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Tk3MjVkYWYzOGU5MTc4ZmY2M2UxNjAyNTNmYmQifQ=="/>
  </w:docVars>
  <w:rsids>
    <w:rsidRoot w:val="00B15F14"/>
    <w:rsid w:val="00034FB3"/>
    <w:rsid w:val="00047531"/>
    <w:rsid w:val="00052F1B"/>
    <w:rsid w:val="00054410"/>
    <w:rsid w:val="00066D5E"/>
    <w:rsid w:val="000778D6"/>
    <w:rsid w:val="0008265C"/>
    <w:rsid w:val="000826DF"/>
    <w:rsid w:val="00092118"/>
    <w:rsid w:val="000D7E09"/>
    <w:rsid w:val="000E0B43"/>
    <w:rsid w:val="000E40C3"/>
    <w:rsid w:val="00116F52"/>
    <w:rsid w:val="00125297"/>
    <w:rsid w:val="00142D2F"/>
    <w:rsid w:val="001739B1"/>
    <w:rsid w:val="00185AFC"/>
    <w:rsid w:val="001C53EE"/>
    <w:rsid w:val="001D4825"/>
    <w:rsid w:val="001E5564"/>
    <w:rsid w:val="001E570C"/>
    <w:rsid w:val="0020098A"/>
    <w:rsid w:val="002238F1"/>
    <w:rsid w:val="00252AE3"/>
    <w:rsid w:val="002A0CF2"/>
    <w:rsid w:val="002A32E7"/>
    <w:rsid w:val="002A42D2"/>
    <w:rsid w:val="002B2662"/>
    <w:rsid w:val="002F56F2"/>
    <w:rsid w:val="00315C6A"/>
    <w:rsid w:val="00316D69"/>
    <w:rsid w:val="003205E1"/>
    <w:rsid w:val="00361D88"/>
    <w:rsid w:val="003A211C"/>
    <w:rsid w:val="003A520F"/>
    <w:rsid w:val="003B6A45"/>
    <w:rsid w:val="003E03FC"/>
    <w:rsid w:val="004019B8"/>
    <w:rsid w:val="004049E9"/>
    <w:rsid w:val="00413B76"/>
    <w:rsid w:val="00416A1F"/>
    <w:rsid w:val="00421403"/>
    <w:rsid w:val="004318AE"/>
    <w:rsid w:val="004529BB"/>
    <w:rsid w:val="0049626D"/>
    <w:rsid w:val="00496A6F"/>
    <w:rsid w:val="0050075A"/>
    <w:rsid w:val="00526F9F"/>
    <w:rsid w:val="00544468"/>
    <w:rsid w:val="00546546"/>
    <w:rsid w:val="00555030"/>
    <w:rsid w:val="00565338"/>
    <w:rsid w:val="005707D5"/>
    <w:rsid w:val="00570B05"/>
    <w:rsid w:val="00575CD9"/>
    <w:rsid w:val="00585ABD"/>
    <w:rsid w:val="005901CC"/>
    <w:rsid w:val="005C2C05"/>
    <w:rsid w:val="005E361E"/>
    <w:rsid w:val="00616843"/>
    <w:rsid w:val="00630F79"/>
    <w:rsid w:val="00632537"/>
    <w:rsid w:val="006457B2"/>
    <w:rsid w:val="00665684"/>
    <w:rsid w:val="006B7CE8"/>
    <w:rsid w:val="006C1D27"/>
    <w:rsid w:val="006C2C64"/>
    <w:rsid w:val="006C7474"/>
    <w:rsid w:val="007108CB"/>
    <w:rsid w:val="007336D9"/>
    <w:rsid w:val="0073681D"/>
    <w:rsid w:val="00776802"/>
    <w:rsid w:val="007A7023"/>
    <w:rsid w:val="007D5752"/>
    <w:rsid w:val="007E61F4"/>
    <w:rsid w:val="008006B4"/>
    <w:rsid w:val="008202BA"/>
    <w:rsid w:val="00836336"/>
    <w:rsid w:val="00845549"/>
    <w:rsid w:val="008475C4"/>
    <w:rsid w:val="008577E5"/>
    <w:rsid w:val="008630DB"/>
    <w:rsid w:val="008800DE"/>
    <w:rsid w:val="00887076"/>
    <w:rsid w:val="00895FFE"/>
    <w:rsid w:val="008A1446"/>
    <w:rsid w:val="008B4A4D"/>
    <w:rsid w:val="008C5AE2"/>
    <w:rsid w:val="008F2021"/>
    <w:rsid w:val="00925DF6"/>
    <w:rsid w:val="009463DC"/>
    <w:rsid w:val="00946952"/>
    <w:rsid w:val="00946EBB"/>
    <w:rsid w:val="00953FDE"/>
    <w:rsid w:val="00975691"/>
    <w:rsid w:val="0098168C"/>
    <w:rsid w:val="009C3188"/>
    <w:rsid w:val="009C611F"/>
    <w:rsid w:val="009E33AC"/>
    <w:rsid w:val="009F6467"/>
    <w:rsid w:val="00A12951"/>
    <w:rsid w:val="00A365E2"/>
    <w:rsid w:val="00A757EF"/>
    <w:rsid w:val="00AA1383"/>
    <w:rsid w:val="00AA546D"/>
    <w:rsid w:val="00AB39D7"/>
    <w:rsid w:val="00AC1BE6"/>
    <w:rsid w:val="00AD049D"/>
    <w:rsid w:val="00B15F14"/>
    <w:rsid w:val="00B254F3"/>
    <w:rsid w:val="00B713C4"/>
    <w:rsid w:val="00B873EA"/>
    <w:rsid w:val="00B9060D"/>
    <w:rsid w:val="00BB2DE3"/>
    <w:rsid w:val="00BD3DEC"/>
    <w:rsid w:val="00BE17DE"/>
    <w:rsid w:val="00BE59DA"/>
    <w:rsid w:val="00C00219"/>
    <w:rsid w:val="00C01E9A"/>
    <w:rsid w:val="00C91F05"/>
    <w:rsid w:val="00C936F8"/>
    <w:rsid w:val="00CB2AB2"/>
    <w:rsid w:val="00CC0890"/>
    <w:rsid w:val="00CC2341"/>
    <w:rsid w:val="00CF16B7"/>
    <w:rsid w:val="00D040A6"/>
    <w:rsid w:val="00D115FD"/>
    <w:rsid w:val="00D34879"/>
    <w:rsid w:val="00D557B1"/>
    <w:rsid w:val="00D75DE9"/>
    <w:rsid w:val="00D83E52"/>
    <w:rsid w:val="00D86A23"/>
    <w:rsid w:val="00D92C62"/>
    <w:rsid w:val="00DA250F"/>
    <w:rsid w:val="00DB07DF"/>
    <w:rsid w:val="00DB53BA"/>
    <w:rsid w:val="00DC3676"/>
    <w:rsid w:val="00DE6656"/>
    <w:rsid w:val="00E209F7"/>
    <w:rsid w:val="00E26599"/>
    <w:rsid w:val="00E31D20"/>
    <w:rsid w:val="00E34AE9"/>
    <w:rsid w:val="00E64606"/>
    <w:rsid w:val="00E775B1"/>
    <w:rsid w:val="00ED230A"/>
    <w:rsid w:val="00F02F03"/>
    <w:rsid w:val="00F12B4B"/>
    <w:rsid w:val="00F12B4D"/>
    <w:rsid w:val="00F34645"/>
    <w:rsid w:val="00F72293"/>
    <w:rsid w:val="00F85646"/>
    <w:rsid w:val="00F90E26"/>
    <w:rsid w:val="00FA0D79"/>
    <w:rsid w:val="00FC2493"/>
    <w:rsid w:val="00FD105B"/>
    <w:rsid w:val="00FD741A"/>
    <w:rsid w:val="00FF3348"/>
    <w:rsid w:val="06452B0D"/>
    <w:rsid w:val="076C3A49"/>
    <w:rsid w:val="125F0174"/>
    <w:rsid w:val="16BC22E2"/>
    <w:rsid w:val="182A7068"/>
    <w:rsid w:val="19B2356A"/>
    <w:rsid w:val="1DC36D9A"/>
    <w:rsid w:val="1DD14115"/>
    <w:rsid w:val="1FA23FEB"/>
    <w:rsid w:val="212E1A90"/>
    <w:rsid w:val="23E51B12"/>
    <w:rsid w:val="251C290E"/>
    <w:rsid w:val="262B24FA"/>
    <w:rsid w:val="44FC2C50"/>
    <w:rsid w:val="45B946E7"/>
    <w:rsid w:val="467F6D8D"/>
    <w:rsid w:val="477517FF"/>
    <w:rsid w:val="47E0136E"/>
    <w:rsid w:val="4B2E39BE"/>
    <w:rsid w:val="4EF14E0C"/>
    <w:rsid w:val="55C951EF"/>
    <w:rsid w:val="66E07BE8"/>
    <w:rsid w:val="66F41FA2"/>
    <w:rsid w:val="67E9435E"/>
    <w:rsid w:val="70657DB3"/>
    <w:rsid w:val="71412CF9"/>
    <w:rsid w:val="77DE46D3"/>
    <w:rsid w:val="784C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5">
    <w:name w:val="Normal Indent"/>
    <w:basedOn w:val="1"/>
    <w:unhideWhenUsed/>
    <w:qFormat/>
    <w:uiPriority w:val="99"/>
    <w:pPr>
      <w:adjustRightInd w:val="0"/>
      <w:snapToGrid w:val="0"/>
      <w:spacing w:line="360" w:lineRule="auto"/>
      <w:ind w:firstLine="420"/>
    </w:pPr>
    <w:rPr>
      <w:szCs w:val="20"/>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qFormat/>
    <w:uiPriority w:val="0"/>
    <w:pPr>
      <w:spacing w:before="240" w:after="60"/>
      <w:jc w:val="center"/>
      <w:outlineLvl w:val="0"/>
    </w:pPr>
    <w:rPr>
      <w:rFonts w:ascii="Cambria" w:hAnsi="Cambria"/>
      <w:b/>
      <w:bCs/>
      <w:sz w:val="32"/>
      <w:szCs w:val="32"/>
    </w:rPr>
  </w:style>
  <w:style w:type="table" w:styleId="10">
    <w:name w:val="Table Grid"/>
    <w:basedOn w:val="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unhideWhenUsed/>
    <w:qFormat/>
    <w:uiPriority w:val="99"/>
    <w:rPr>
      <w:color w:val="0000FF"/>
      <w:u w:val="single"/>
    </w:rPr>
  </w:style>
  <w:style w:type="character" w:customStyle="1" w:styleId="13">
    <w:name w:val="标题 Char"/>
    <w:link w:val="8"/>
    <w:qFormat/>
    <w:uiPriority w:val="0"/>
    <w:rPr>
      <w:rFonts w:ascii="Cambria" w:hAnsi="Cambria" w:cs="Times New Roman"/>
      <w:b/>
      <w:bCs/>
      <w:kern w:val="2"/>
      <w:sz w:val="32"/>
      <w:szCs w:val="32"/>
    </w:rPr>
  </w:style>
  <w:style w:type="character" w:customStyle="1" w:styleId="14">
    <w:name w:val="标题 1 Char"/>
    <w:link w:val="3"/>
    <w:qFormat/>
    <w:uiPriority w:val="0"/>
    <w:rPr>
      <w:b/>
      <w:bCs/>
      <w:kern w:val="44"/>
      <w:sz w:val="44"/>
      <w:szCs w:val="44"/>
    </w:rPr>
  </w:style>
  <w:style w:type="paragraph" w:customStyle="1" w:styleId="15">
    <w:name w:val="TOC 标题1"/>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
    <w:name w:val="目录 11"/>
    <w:basedOn w:val="1"/>
    <w:next w:val="1"/>
    <w:qFormat/>
    <w:uiPriority w:val="39"/>
  </w:style>
  <w:style w:type="character" w:customStyle="1" w:styleId="17">
    <w:name w:val="页眉 Char"/>
    <w:link w:val="7"/>
    <w:qFormat/>
    <w:uiPriority w:val="0"/>
    <w:rPr>
      <w:kern w:val="2"/>
      <w:sz w:val="18"/>
      <w:szCs w:val="18"/>
    </w:rPr>
  </w:style>
  <w:style w:type="character" w:customStyle="1" w:styleId="18">
    <w:name w:val="页脚 Char"/>
    <w:link w:val="6"/>
    <w:qFormat/>
    <w:uiPriority w:val="0"/>
    <w:rPr>
      <w:kern w:val="2"/>
      <w:sz w:val="18"/>
      <w:szCs w:val="18"/>
    </w:rPr>
  </w:style>
  <w:style w:type="character" w:customStyle="1" w:styleId="19">
    <w:name w:val="样式 仿宋"/>
    <w:qFormat/>
    <w:uiPriority w:val="0"/>
    <w:rPr>
      <w:rFonts w:ascii="仿宋" w:hAnsi="仿宋" w:eastAsia="仿宋"/>
      <w:kern w:val="1"/>
    </w:rPr>
  </w:style>
  <w:style w:type="character" w:customStyle="1" w:styleId="20">
    <w:name w:val="楷体 (中文) 楷体"/>
    <w:qFormat/>
    <w:uiPriority w:val="0"/>
    <w:rPr>
      <w:rFonts w:ascii="楷体" w:hAnsi="楷体" w:eastAsia="楷体"/>
      <w:kern w:val="1"/>
      <w:sz w:val="28"/>
    </w:rPr>
  </w:style>
  <w:style w:type="character" w:customStyle="1" w:styleId="21">
    <w:name w:val="c_997f4a3"/>
    <w:basedOn w:val="11"/>
    <w:qFormat/>
    <w:uiPriority w:val="0"/>
    <w:rPr>
      <w:b/>
      <w:bCs/>
      <w:color w:val="997F4A"/>
    </w:rPr>
  </w:style>
  <w:style w:type="character" w:customStyle="1" w:styleId="22">
    <w:name w:val="c_3a7dbb4"/>
    <w:basedOn w:val="11"/>
    <w:qFormat/>
    <w:uiPriority w:val="0"/>
    <w:rPr>
      <w:b/>
      <w:bCs/>
      <w:color w:val="3A7DBB"/>
    </w:rPr>
  </w:style>
  <w:style w:type="paragraph" w:styleId="23">
    <w:name w:val="List Paragraph"/>
    <w:basedOn w:val="1"/>
    <w:link w:val="24"/>
    <w:qFormat/>
    <w:uiPriority w:val="34"/>
    <w:pPr>
      <w:spacing w:line="360" w:lineRule="auto"/>
      <w:ind w:firstLine="420" w:firstLineChars="200"/>
    </w:pPr>
    <w:rPr>
      <w:sz w:val="24"/>
    </w:rPr>
  </w:style>
  <w:style w:type="character" w:customStyle="1" w:styleId="24">
    <w:name w:val="列出段落 Char"/>
    <w:link w:val="23"/>
    <w:qFormat/>
    <w:uiPriority w:val="34"/>
    <w:rPr>
      <w:kern w:val="2"/>
      <w:sz w:val="24"/>
      <w:szCs w:val="24"/>
    </w:rPr>
  </w:style>
  <w:style w:type="paragraph" w:customStyle="1" w:styleId="25">
    <w:name w:val="列出段落1"/>
    <w:basedOn w:val="1"/>
    <w:qFormat/>
    <w:uiPriority w:val="34"/>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9A9AB-8632-4911-AA42-194A512C349F}">
  <ds:schemaRefs/>
</ds:datastoreItem>
</file>

<file path=docProps/app.xml><?xml version="1.0" encoding="utf-8"?>
<Properties xmlns="http://schemas.openxmlformats.org/officeDocument/2006/extended-properties" xmlns:vt="http://schemas.openxmlformats.org/officeDocument/2006/docPropsVTypes">
  <Template>Normal</Template>
  <Company>headway</Company>
  <Pages>32</Pages>
  <Words>17104</Words>
  <Characters>17667</Characters>
  <Lines>132</Lines>
  <Paragraphs>37</Paragraphs>
  <TotalTime>44</TotalTime>
  <ScaleCrop>false</ScaleCrop>
  <LinksUpToDate>false</LinksUpToDate>
  <CharactersWithSpaces>17725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2022-09-15T00:42:00Z</dcterms:created>
  <dc:creator>郑成飞</dc:creator>
  <cp:lastModifiedBy>86135</cp:lastModifiedBy>
  <dcterms:modified xsi:type="dcterms:W3CDTF">2022-09-20T01:51:20Z</dcterms:modified>
  <dc:title>浙江省采购招标文件范本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9806C0E74EE3496E8D81C12052B098DB</vt:lpwstr>
  </property>
</Properties>
</file>